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669C" w14:textId="77777777" w:rsidR="00B43D7B" w:rsidRPr="007800F2" w:rsidRDefault="00B43D7B" w:rsidP="00B43D7B">
      <w:pPr>
        <w:spacing w:line="240" w:lineRule="auto"/>
        <w:rPr>
          <w:rFonts w:ascii="Times New Roman" w:hAnsi="Times New Roman" w:cs="Times New Roman"/>
          <w:sz w:val="24"/>
          <w:szCs w:val="24"/>
        </w:rPr>
      </w:pPr>
      <w:r w:rsidRPr="007800F2">
        <w:rPr>
          <w:rFonts w:ascii="Times New Roman" w:hAnsi="Times New Roman" w:cs="Times New Roman"/>
          <w:sz w:val="24"/>
          <w:szCs w:val="24"/>
        </w:rPr>
        <w:t xml:space="preserve">Below is a chart of U.S. Foreign Assistance (FA) indicators that S/GWI most commonly uses to tell the story of the programs it funds. In addition to designing their own indicators, applicants should select the most relevant indicators from this chart to integrate into their MEL plan, as appropriate. </w:t>
      </w:r>
    </w:p>
    <w:tbl>
      <w:tblPr>
        <w:tblStyle w:val="TableGrid"/>
        <w:tblW w:w="11965" w:type="dxa"/>
        <w:tblLook w:val="04A0" w:firstRow="1" w:lastRow="0" w:firstColumn="1" w:lastColumn="0" w:noHBand="0" w:noVBand="1"/>
      </w:tblPr>
      <w:tblGrid>
        <w:gridCol w:w="3325"/>
        <w:gridCol w:w="3510"/>
        <w:gridCol w:w="3150"/>
        <w:gridCol w:w="1980"/>
      </w:tblGrid>
      <w:tr w:rsidR="00B43D7B" w:rsidRPr="0007486C" w14:paraId="0B898AFC" w14:textId="77777777" w:rsidTr="546EFB79">
        <w:tc>
          <w:tcPr>
            <w:tcW w:w="9985" w:type="dxa"/>
            <w:gridSpan w:val="3"/>
            <w:tcBorders>
              <w:right w:val="single" w:sz="4" w:space="0" w:color="auto"/>
            </w:tcBorders>
            <w:shd w:val="clear" w:color="auto" w:fill="BDD6EE" w:themeFill="accent1" w:themeFillTint="66"/>
          </w:tcPr>
          <w:p w14:paraId="246FE0B3" w14:textId="6ECFFEF8" w:rsidR="00B43D7B" w:rsidRPr="00447A94" w:rsidRDefault="3F97BA81" w:rsidP="74E24525">
            <w:pPr>
              <w:jc w:val="center"/>
              <w:rPr>
                <w:rFonts w:ascii="Times New Roman" w:hAnsi="Times New Roman" w:cs="Times New Roman"/>
                <w:b/>
                <w:bCs/>
                <w:sz w:val="28"/>
                <w:szCs w:val="28"/>
              </w:rPr>
            </w:pPr>
            <w:r w:rsidRPr="5CFF1180">
              <w:rPr>
                <w:rFonts w:ascii="Times New Roman" w:hAnsi="Times New Roman" w:cs="Times New Roman"/>
                <w:b/>
                <w:bCs/>
                <w:sz w:val="28"/>
                <w:szCs w:val="28"/>
              </w:rPr>
              <w:t>WPS/</w:t>
            </w:r>
            <w:r w:rsidR="343595F0" w:rsidRPr="5CFF1180">
              <w:rPr>
                <w:rFonts w:ascii="Times New Roman" w:hAnsi="Times New Roman" w:cs="Times New Roman"/>
                <w:b/>
                <w:bCs/>
                <w:sz w:val="28"/>
                <w:szCs w:val="28"/>
              </w:rPr>
              <w:t>WEE</w:t>
            </w:r>
            <w:r w:rsidRPr="5CFF1180">
              <w:rPr>
                <w:rFonts w:ascii="Times New Roman" w:hAnsi="Times New Roman" w:cs="Times New Roman"/>
                <w:b/>
                <w:bCs/>
                <w:sz w:val="28"/>
                <w:szCs w:val="28"/>
              </w:rPr>
              <w:t>/GBV</w:t>
            </w:r>
            <w:r w:rsidR="00B43D7B" w:rsidRPr="5CFF1180">
              <w:rPr>
                <w:rStyle w:val="FootnoteReference"/>
                <w:rFonts w:ascii="Times New Roman" w:hAnsi="Times New Roman" w:cs="Times New Roman"/>
                <w:b/>
                <w:bCs/>
                <w:sz w:val="28"/>
                <w:szCs w:val="28"/>
              </w:rPr>
              <w:footnoteReference w:id="1"/>
            </w:r>
            <w:r w:rsidRPr="5CFF1180">
              <w:rPr>
                <w:rFonts w:ascii="Times New Roman" w:hAnsi="Times New Roman" w:cs="Times New Roman"/>
                <w:b/>
                <w:bCs/>
                <w:sz w:val="28"/>
                <w:szCs w:val="28"/>
              </w:rPr>
              <w:t xml:space="preserve"> FA Indicators</w:t>
            </w:r>
          </w:p>
        </w:tc>
        <w:tc>
          <w:tcPr>
            <w:tcW w:w="1980" w:type="dxa"/>
            <w:tcBorders>
              <w:top w:val="nil"/>
              <w:left w:val="single" w:sz="4" w:space="0" w:color="auto"/>
              <w:bottom w:val="nil"/>
              <w:right w:val="single" w:sz="4" w:space="0" w:color="auto"/>
            </w:tcBorders>
            <w:shd w:val="clear" w:color="auto" w:fill="auto"/>
          </w:tcPr>
          <w:p w14:paraId="672A6659" w14:textId="77777777" w:rsidR="00B43D7B" w:rsidRDefault="00B43D7B" w:rsidP="007D041D">
            <w:pPr>
              <w:jc w:val="center"/>
              <w:rPr>
                <w:rFonts w:ascii="Times New Roman" w:hAnsi="Times New Roman" w:cs="Times New Roman"/>
                <w:b/>
                <w:sz w:val="28"/>
                <w:szCs w:val="28"/>
              </w:rPr>
            </w:pPr>
          </w:p>
        </w:tc>
      </w:tr>
      <w:tr w:rsidR="00B43D7B" w:rsidRPr="0007486C" w14:paraId="64F1C6B3" w14:textId="77777777" w:rsidTr="546EFB79">
        <w:tc>
          <w:tcPr>
            <w:tcW w:w="3325" w:type="dxa"/>
          </w:tcPr>
          <w:p w14:paraId="0CB92437" w14:textId="313BCC55" w:rsidR="00B43D7B" w:rsidRPr="0007486C" w:rsidRDefault="00F3394C" w:rsidP="007D041D">
            <w:pPr>
              <w:jc w:val="center"/>
              <w:rPr>
                <w:rFonts w:ascii="Times New Roman" w:hAnsi="Times New Roman" w:cs="Times New Roman"/>
                <w:b/>
              </w:rPr>
            </w:pPr>
            <w:r>
              <w:rPr>
                <w:rFonts w:ascii="Times New Roman" w:hAnsi="Times New Roman" w:cs="Times New Roman"/>
                <w:b/>
              </w:rPr>
              <w:t>Women, Peace, and Security (</w:t>
            </w:r>
            <w:r w:rsidR="00B43D7B" w:rsidRPr="0007486C">
              <w:rPr>
                <w:rFonts w:ascii="Times New Roman" w:hAnsi="Times New Roman" w:cs="Times New Roman"/>
                <w:b/>
              </w:rPr>
              <w:t>WPS</w:t>
            </w:r>
            <w:r>
              <w:rPr>
                <w:rFonts w:ascii="Times New Roman" w:hAnsi="Times New Roman" w:cs="Times New Roman"/>
                <w:b/>
              </w:rPr>
              <w:t>)</w:t>
            </w:r>
          </w:p>
        </w:tc>
        <w:tc>
          <w:tcPr>
            <w:tcW w:w="3510" w:type="dxa"/>
          </w:tcPr>
          <w:p w14:paraId="57603427" w14:textId="5B5F5C42" w:rsidR="00B43D7B" w:rsidRPr="0007486C" w:rsidRDefault="6EEB0428" w:rsidP="5CFF1180">
            <w:pPr>
              <w:jc w:val="center"/>
              <w:rPr>
                <w:b/>
                <w:bCs/>
                <w:color w:val="000000" w:themeColor="text1"/>
              </w:rPr>
            </w:pPr>
            <w:r w:rsidRPr="546EFB79">
              <w:rPr>
                <w:rFonts w:ascii="Times New Roman" w:eastAsia="Times New Roman" w:hAnsi="Times New Roman" w:cs="Times New Roman"/>
                <w:b/>
                <w:bCs/>
                <w:color w:val="000000" w:themeColor="text1"/>
              </w:rPr>
              <w:t xml:space="preserve"> </w:t>
            </w:r>
            <w:r w:rsidR="00F3394C">
              <w:rPr>
                <w:rFonts w:ascii="Times New Roman" w:eastAsia="Times New Roman" w:hAnsi="Times New Roman" w:cs="Times New Roman"/>
                <w:b/>
                <w:bCs/>
                <w:color w:val="000000" w:themeColor="text1"/>
              </w:rPr>
              <w:t>Women’s Economic Empowerment (</w:t>
            </w:r>
            <w:r w:rsidRPr="546EFB79">
              <w:rPr>
                <w:rFonts w:ascii="Times New Roman" w:eastAsia="Times New Roman" w:hAnsi="Times New Roman" w:cs="Times New Roman"/>
                <w:b/>
                <w:bCs/>
                <w:color w:val="000000" w:themeColor="text1"/>
              </w:rPr>
              <w:t>WEE</w:t>
            </w:r>
            <w:r w:rsidR="00F3394C">
              <w:rPr>
                <w:rFonts w:ascii="Times New Roman" w:eastAsia="Times New Roman" w:hAnsi="Times New Roman" w:cs="Times New Roman"/>
                <w:b/>
                <w:bCs/>
                <w:color w:val="000000" w:themeColor="text1"/>
              </w:rPr>
              <w:t>)</w:t>
            </w:r>
          </w:p>
        </w:tc>
        <w:tc>
          <w:tcPr>
            <w:tcW w:w="3150" w:type="dxa"/>
            <w:tcBorders>
              <w:right w:val="single" w:sz="4" w:space="0" w:color="auto"/>
            </w:tcBorders>
          </w:tcPr>
          <w:p w14:paraId="3C89563D" w14:textId="12B221FE" w:rsidR="00B43D7B" w:rsidRPr="0007486C" w:rsidRDefault="00F3394C" w:rsidP="007D041D">
            <w:pPr>
              <w:jc w:val="center"/>
              <w:rPr>
                <w:rFonts w:ascii="Times New Roman" w:hAnsi="Times New Roman" w:cs="Times New Roman"/>
                <w:b/>
                <w:vertAlign w:val="superscript"/>
              </w:rPr>
            </w:pPr>
            <w:r>
              <w:rPr>
                <w:rFonts w:ascii="Times New Roman" w:hAnsi="Times New Roman" w:cs="Times New Roman"/>
                <w:b/>
              </w:rPr>
              <w:t>Gender-based Violence (</w:t>
            </w:r>
            <w:r w:rsidR="00B43D7B" w:rsidRPr="0007486C">
              <w:rPr>
                <w:rFonts w:ascii="Times New Roman" w:hAnsi="Times New Roman" w:cs="Times New Roman"/>
                <w:b/>
              </w:rPr>
              <w:t>GBV</w:t>
            </w:r>
            <w:r>
              <w:rPr>
                <w:rFonts w:ascii="Times New Roman" w:hAnsi="Times New Roman" w:cs="Times New Roman"/>
                <w:b/>
              </w:rPr>
              <w:t>)</w:t>
            </w:r>
          </w:p>
        </w:tc>
        <w:tc>
          <w:tcPr>
            <w:tcW w:w="1980" w:type="dxa"/>
            <w:tcBorders>
              <w:top w:val="nil"/>
              <w:left w:val="single" w:sz="4" w:space="0" w:color="auto"/>
              <w:bottom w:val="nil"/>
              <w:right w:val="single" w:sz="4" w:space="0" w:color="auto"/>
            </w:tcBorders>
          </w:tcPr>
          <w:p w14:paraId="0A37501D" w14:textId="77777777" w:rsidR="00B43D7B" w:rsidRPr="0007486C" w:rsidRDefault="00B43D7B" w:rsidP="007D041D">
            <w:pPr>
              <w:jc w:val="center"/>
              <w:rPr>
                <w:rFonts w:ascii="Times New Roman" w:hAnsi="Times New Roman" w:cs="Times New Roman"/>
                <w:b/>
              </w:rPr>
            </w:pPr>
          </w:p>
        </w:tc>
      </w:tr>
      <w:tr w:rsidR="00B43D7B" w:rsidRPr="0007486C" w14:paraId="65FC2E3A" w14:textId="77777777" w:rsidTr="546EFB79">
        <w:tc>
          <w:tcPr>
            <w:tcW w:w="3325" w:type="dxa"/>
          </w:tcPr>
          <w:p w14:paraId="222C4CA6"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GNDR-6</w:t>
            </w:r>
            <w:r w:rsidRPr="0007486C">
              <w:rPr>
                <w:color w:val="000000" w:themeColor="dark1"/>
                <w:kern w:val="24"/>
                <w:sz w:val="22"/>
                <w:szCs w:val="22"/>
              </w:rPr>
              <w:t xml:space="preserve"> Number of people reached by a U.S. government-funded intervention providing GBV services (e.g. health, legal, psycho-social counseling, shelters, hotlines, other)</w:t>
            </w:r>
          </w:p>
        </w:tc>
        <w:tc>
          <w:tcPr>
            <w:tcW w:w="3510" w:type="dxa"/>
          </w:tcPr>
          <w:p w14:paraId="00F82930"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GNDR-2</w:t>
            </w:r>
            <w:r w:rsidRPr="0007486C">
              <w:rPr>
                <w:color w:val="000000" w:themeColor="dark1"/>
                <w:kern w:val="24"/>
                <w:sz w:val="22"/>
                <w:szCs w:val="22"/>
              </w:rPr>
              <w:t xml:space="preserve"> Percentage of female participants in USG-assisted programs designed to increase access to productive economic resources (assets, credit, income or employment)</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059D8B44"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GNDR-4</w:t>
            </w:r>
            <w:r w:rsidRPr="0007486C">
              <w:rPr>
                <w:color w:val="000000" w:themeColor="dark1"/>
                <w:kern w:val="24"/>
                <w:sz w:val="22"/>
                <w:szCs w:val="22"/>
              </w:rPr>
              <w:t xml:space="preserve"> </w:t>
            </w:r>
            <w:r w:rsidRPr="0007486C">
              <w:rPr>
                <w:rFonts w:eastAsiaTheme="minorEastAsia"/>
                <w:color w:val="000000" w:themeColor="dark1"/>
                <w:kern w:val="24"/>
                <w:sz w:val="22"/>
                <w:szCs w:val="22"/>
              </w:rPr>
              <w:t>Percentage of participants reporting increased agreement with the concept that males and females should have equal access to social, economic, and political resources and opportunities</w:t>
            </w:r>
          </w:p>
        </w:tc>
        <w:tc>
          <w:tcPr>
            <w:tcW w:w="1980" w:type="dxa"/>
            <w:tcBorders>
              <w:top w:val="nil"/>
              <w:left w:val="single" w:sz="4" w:space="0" w:color="auto"/>
              <w:bottom w:val="nil"/>
              <w:right w:val="single" w:sz="4" w:space="0" w:color="auto"/>
            </w:tcBorders>
          </w:tcPr>
          <w:p w14:paraId="5DAB6C7B" w14:textId="77777777" w:rsidR="00B43D7B" w:rsidRPr="0007486C"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4FA2955A" w14:textId="77777777" w:rsidTr="546EFB79">
        <w:tc>
          <w:tcPr>
            <w:tcW w:w="3325" w:type="dxa"/>
          </w:tcPr>
          <w:p w14:paraId="59EEF5C0"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w:t>
            </w:r>
            <w:r w:rsidRPr="0007486C">
              <w:rPr>
                <w:rFonts w:eastAsia="Calibri"/>
                <w:b/>
                <w:bCs/>
                <w:color w:val="000000" w:themeColor="dark1"/>
                <w:kern w:val="24"/>
                <w:sz w:val="22"/>
                <w:szCs w:val="22"/>
              </w:rPr>
              <w:t>-8</w:t>
            </w:r>
            <w:r w:rsidRPr="0007486C">
              <w:rPr>
                <w:rFonts w:eastAsia="Calibri"/>
                <w:color w:val="000000" w:themeColor="dark1"/>
                <w:kern w:val="24"/>
                <w:sz w:val="22"/>
                <w:szCs w:val="22"/>
              </w:rPr>
              <w:t xml:space="preserve"> Number of persons trained with USG assistance to advance outcomes consistent with gender equality or female empowerment through their roles in public or private sector institutions or organizations </w:t>
            </w:r>
          </w:p>
        </w:tc>
        <w:tc>
          <w:tcPr>
            <w:tcW w:w="3510" w:type="dxa"/>
          </w:tcPr>
          <w:p w14:paraId="6F15FDA3"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GNDR-4</w:t>
            </w:r>
            <w:r w:rsidRPr="0007486C">
              <w:rPr>
                <w:color w:val="000000" w:themeColor="dark1"/>
                <w:kern w:val="24"/>
                <w:sz w:val="22"/>
                <w:szCs w:val="22"/>
              </w:rPr>
              <w:t xml:space="preserve"> </w:t>
            </w:r>
            <w:r w:rsidRPr="0007486C">
              <w:rPr>
                <w:rFonts w:eastAsiaTheme="minorEastAsia"/>
                <w:color w:val="000000" w:themeColor="dark1"/>
                <w:kern w:val="24"/>
                <w:sz w:val="22"/>
                <w:szCs w:val="22"/>
              </w:rPr>
              <w:t>Percentage of participants reporting increased agreement with the concept that males and females should have equal access to social, economic, and political resources and opportunities</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557FED59"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 xml:space="preserve">GNDR-5 </w:t>
            </w:r>
            <w:r w:rsidRPr="0007486C">
              <w:rPr>
                <w:color w:val="000000" w:themeColor="dark1"/>
                <w:kern w:val="24"/>
                <w:sz w:val="22"/>
                <w:szCs w:val="22"/>
              </w:rPr>
              <w:t>Number of legal instruments drafted, proposed, or adopted with USG assistance designed to improve prevention of or response to sexual and gender based violence at the national or sub-national level</w:t>
            </w:r>
          </w:p>
        </w:tc>
        <w:tc>
          <w:tcPr>
            <w:tcW w:w="1980" w:type="dxa"/>
            <w:tcBorders>
              <w:top w:val="nil"/>
              <w:left w:val="single" w:sz="4" w:space="0" w:color="auto"/>
              <w:bottom w:val="nil"/>
              <w:right w:val="single" w:sz="4" w:space="0" w:color="auto"/>
            </w:tcBorders>
          </w:tcPr>
          <w:p w14:paraId="02EB378F" w14:textId="77777777" w:rsidR="00B43D7B" w:rsidRPr="0007486C"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3F676BCB" w14:textId="77777777" w:rsidTr="546EFB79">
        <w:tc>
          <w:tcPr>
            <w:tcW w:w="3325" w:type="dxa"/>
          </w:tcPr>
          <w:p w14:paraId="2EC7CA9D"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 10</w:t>
            </w:r>
            <w:r w:rsidRPr="0007486C">
              <w:rPr>
                <w:color w:val="000000" w:themeColor="dark1"/>
                <w:kern w:val="24"/>
                <w:sz w:val="22"/>
                <w:szCs w:val="22"/>
              </w:rPr>
              <w:t>: Number of local women participating in a substantive role or position in a peacebuilding process supported with U.S. government assistance</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4F5E63F1"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w:t>
            </w:r>
            <w:r w:rsidRPr="0007486C">
              <w:rPr>
                <w:rFonts w:eastAsia="Calibri"/>
                <w:b/>
                <w:bCs/>
                <w:color w:val="000000" w:themeColor="dark1"/>
                <w:kern w:val="24"/>
                <w:sz w:val="22"/>
                <w:szCs w:val="22"/>
              </w:rPr>
              <w:t>-8</w:t>
            </w:r>
            <w:r w:rsidRPr="0007486C">
              <w:rPr>
                <w:rFonts w:eastAsia="Calibri"/>
                <w:color w:val="000000" w:themeColor="dark1"/>
                <w:kern w:val="24"/>
                <w:sz w:val="22"/>
                <w:szCs w:val="22"/>
              </w:rPr>
              <w:t xml:space="preserve"> Number of persons trained with USG assistance to advance outcomes consistent with gender equality or female empowerment through their roles in public or private sector institutions or organizations </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4534A0F9" w14:textId="77777777" w:rsidR="00B43D7B" w:rsidRPr="0007486C" w:rsidRDefault="00B43D7B" w:rsidP="007D041D">
            <w:pPr>
              <w:pStyle w:val="NormalWeb"/>
              <w:spacing w:before="0" w:beforeAutospacing="0" w:after="0" w:afterAutospacing="0"/>
              <w:rPr>
                <w:sz w:val="22"/>
                <w:szCs w:val="22"/>
              </w:rPr>
            </w:pPr>
            <w:r w:rsidRPr="0007486C">
              <w:rPr>
                <w:b/>
                <w:bCs/>
                <w:color w:val="000000" w:themeColor="dark1"/>
                <w:kern w:val="24"/>
                <w:sz w:val="22"/>
                <w:szCs w:val="22"/>
              </w:rPr>
              <w:t>GNDR-6</w:t>
            </w:r>
            <w:r w:rsidRPr="0007486C">
              <w:rPr>
                <w:color w:val="000000" w:themeColor="dark1"/>
                <w:kern w:val="24"/>
                <w:sz w:val="22"/>
                <w:szCs w:val="22"/>
              </w:rPr>
              <w:t xml:space="preserve"> Number of people reached by a U.S. government-funded intervention providing GBV services (e.g. health, legal, psycho-social counseling, shelters, hotlines, other)</w:t>
            </w:r>
          </w:p>
        </w:tc>
        <w:tc>
          <w:tcPr>
            <w:tcW w:w="1980" w:type="dxa"/>
            <w:tcBorders>
              <w:top w:val="nil"/>
              <w:left w:val="single" w:sz="4" w:space="0" w:color="auto"/>
              <w:bottom w:val="nil"/>
              <w:right w:val="single" w:sz="4" w:space="0" w:color="auto"/>
            </w:tcBorders>
          </w:tcPr>
          <w:p w14:paraId="6A05A809" w14:textId="77777777" w:rsidR="00B43D7B" w:rsidRPr="0007486C"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67C498AD" w14:textId="77777777" w:rsidTr="546EFB79">
        <w:tc>
          <w:tcPr>
            <w:tcW w:w="3325" w:type="dxa"/>
          </w:tcPr>
          <w:p w14:paraId="09CAADBE" w14:textId="77777777" w:rsidR="00B43D7B" w:rsidRPr="005D4651" w:rsidRDefault="00B43D7B" w:rsidP="007D041D">
            <w:pPr>
              <w:pStyle w:val="NormalWeb"/>
              <w:spacing w:before="0" w:beforeAutospacing="0" w:after="0" w:afterAutospacing="0"/>
              <w:rPr>
                <w:sz w:val="22"/>
                <w:szCs w:val="22"/>
              </w:rPr>
            </w:pPr>
            <w:r w:rsidRPr="005D4651">
              <w:rPr>
                <w:b/>
                <w:bCs/>
                <w:color w:val="000000" w:themeColor="dark1"/>
                <w:kern w:val="24"/>
                <w:sz w:val="22"/>
                <w:szCs w:val="22"/>
              </w:rPr>
              <w:t>YOUTH 4b</w:t>
            </w:r>
            <w:r>
              <w:rPr>
                <w:b/>
                <w:bCs/>
                <w:color w:val="000000" w:themeColor="dark1"/>
                <w:kern w:val="24"/>
                <w:sz w:val="22"/>
                <w:szCs w:val="22"/>
              </w:rPr>
              <w:t xml:space="preserve"> </w:t>
            </w:r>
            <w:r w:rsidRPr="005D4651">
              <w:rPr>
                <w:color w:val="000000" w:themeColor="dark1"/>
                <w:kern w:val="24"/>
                <w:sz w:val="22"/>
                <w:szCs w:val="22"/>
              </w:rPr>
              <w:t>Number of females age 10-18 who participate in civil society activities following social or leadership skills training or initiatives from USG assisted programs</w:t>
            </w:r>
          </w:p>
        </w:tc>
        <w:tc>
          <w:tcPr>
            <w:tcW w:w="3510" w:type="dxa"/>
            <w:tcBorders>
              <w:top w:val="nil"/>
              <w:left w:val="single" w:sz="4" w:space="0" w:color="auto"/>
              <w:bottom w:val="single" w:sz="4" w:space="0" w:color="auto"/>
              <w:right w:val="single" w:sz="4" w:space="0" w:color="auto"/>
            </w:tcBorders>
            <w:shd w:val="clear" w:color="auto" w:fill="auto"/>
          </w:tcPr>
          <w:p w14:paraId="0B251A0F" w14:textId="77777777" w:rsidR="00B43D7B" w:rsidRPr="005D4651" w:rsidRDefault="670CBA5E" w:rsidP="546EFB79">
            <w:pPr>
              <w:pStyle w:val="NormalWeb"/>
              <w:spacing w:before="0" w:beforeAutospacing="0" w:after="0" w:afterAutospacing="0"/>
              <w:rPr>
                <w:sz w:val="22"/>
                <w:szCs w:val="22"/>
              </w:rPr>
            </w:pPr>
            <w:r w:rsidRPr="546EFB79">
              <w:rPr>
                <w:b/>
                <w:bCs/>
                <w:color w:val="000000" w:themeColor="text1"/>
                <w:sz w:val="22"/>
                <w:szCs w:val="22"/>
              </w:rPr>
              <w:t>EG.5-3b</w:t>
            </w:r>
            <w:r w:rsidRPr="546EFB79">
              <w:rPr>
                <w:color w:val="000000" w:themeColor="text1"/>
                <w:sz w:val="22"/>
                <w:szCs w:val="22"/>
              </w:rPr>
              <w:t xml:space="preserve"> </w:t>
            </w:r>
            <w:r w:rsidRPr="546EFB79">
              <w:rPr>
                <w:rFonts w:eastAsia="Calibri"/>
                <w:color w:val="000000" w:themeColor="text1"/>
                <w:sz w:val="22"/>
                <w:szCs w:val="22"/>
              </w:rPr>
              <w:t>Number of [female] microenterprises supported by USG Assistance</w:t>
            </w:r>
          </w:p>
          <w:p w14:paraId="56AFD5D9" w14:textId="77777777" w:rsidR="00B43D7B" w:rsidRPr="005D4651" w:rsidRDefault="00B43D7B" w:rsidP="546EFB79">
            <w:pPr>
              <w:pStyle w:val="NormalWeb"/>
              <w:spacing w:before="0" w:beforeAutospacing="0" w:after="0" w:afterAutospacing="0"/>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4BB3C721" w14:textId="77777777" w:rsidR="00B43D7B" w:rsidRPr="005D4651" w:rsidRDefault="00B43D7B" w:rsidP="007D041D">
            <w:pPr>
              <w:pStyle w:val="NormalWeb"/>
              <w:spacing w:before="0" w:beforeAutospacing="0" w:after="0" w:afterAutospacing="0"/>
              <w:rPr>
                <w:sz w:val="22"/>
                <w:szCs w:val="22"/>
              </w:rPr>
            </w:pPr>
            <w:r w:rsidRPr="005D4651">
              <w:rPr>
                <w:b/>
                <w:bCs/>
                <w:color w:val="000000" w:themeColor="dark1"/>
                <w:kern w:val="24"/>
                <w:sz w:val="22"/>
                <w:szCs w:val="22"/>
              </w:rPr>
              <w:t xml:space="preserve">DR.4.2-1b </w:t>
            </w:r>
            <w:r w:rsidRPr="005D4651">
              <w:rPr>
                <w:color w:val="000000" w:themeColor="dark1"/>
                <w:kern w:val="24"/>
                <w:sz w:val="22"/>
                <w:szCs w:val="22"/>
              </w:rPr>
              <w:t>Number of human rights organizations trained and supported</w:t>
            </w:r>
          </w:p>
        </w:tc>
        <w:tc>
          <w:tcPr>
            <w:tcW w:w="1980" w:type="dxa"/>
            <w:tcBorders>
              <w:top w:val="nil"/>
              <w:left w:val="single" w:sz="4" w:space="0" w:color="auto"/>
              <w:bottom w:val="nil"/>
              <w:right w:val="nil"/>
            </w:tcBorders>
          </w:tcPr>
          <w:p w14:paraId="5A39BBE3"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0CCEFA86" w14:textId="77777777" w:rsidTr="546EFB79">
        <w:tc>
          <w:tcPr>
            <w:tcW w:w="3325" w:type="dxa"/>
          </w:tcPr>
          <w:p w14:paraId="7DAA8392" w14:textId="77777777" w:rsidR="00B43D7B" w:rsidRPr="005D4651" w:rsidRDefault="5A302A95" w:rsidP="546EFB79">
            <w:pPr>
              <w:pStyle w:val="NormalWeb"/>
              <w:spacing w:before="0" w:beforeAutospacing="0" w:after="0" w:afterAutospacing="0"/>
              <w:rPr>
                <w:sz w:val="22"/>
                <w:szCs w:val="22"/>
              </w:rPr>
            </w:pPr>
            <w:r w:rsidRPr="546EFB79">
              <w:rPr>
                <w:b/>
                <w:bCs/>
                <w:color w:val="000000" w:themeColor="text1"/>
                <w:sz w:val="22"/>
                <w:szCs w:val="22"/>
              </w:rPr>
              <w:t>DR.3.1-2a</w:t>
            </w:r>
            <w:r w:rsidRPr="546EFB79">
              <w:rPr>
                <w:color w:val="000000" w:themeColor="text1"/>
                <w:sz w:val="22"/>
                <w:szCs w:val="22"/>
              </w:rPr>
              <w:t xml:space="preserve"> Number of women’s rights groups trained in conflict mediation/resolution skills or consensus-building techniques with U.S. government assistance</w:t>
            </w:r>
          </w:p>
          <w:p w14:paraId="2959EFBF" w14:textId="77777777" w:rsidR="00B43D7B" w:rsidRPr="005D4651" w:rsidRDefault="00B43D7B" w:rsidP="546EFB79">
            <w:pPr>
              <w:pStyle w:val="NormalWeb"/>
              <w:spacing w:before="0" w:beforeAutospacing="0" w:after="0" w:afterAutospacing="0"/>
            </w:pPr>
          </w:p>
        </w:tc>
        <w:tc>
          <w:tcPr>
            <w:tcW w:w="3510" w:type="dxa"/>
            <w:tcBorders>
              <w:top w:val="nil"/>
              <w:left w:val="single" w:sz="4" w:space="0" w:color="auto"/>
              <w:bottom w:val="single" w:sz="4" w:space="0" w:color="auto"/>
              <w:right w:val="single" w:sz="4" w:space="0" w:color="auto"/>
            </w:tcBorders>
            <w:shd w:val="clear" w:color="auto" w:fill="auto"/>
          </w:tcPr>
          <w:p w14:paraId="7FE30183" w14:textId="77777777" w:rsidR="00B43D7B" w:rsidRPr="005D4651" w:rsidRDefault="5E506730" w:rsidP="546EFB79">
            <w:pPr>
              <w:pStyle w:val="NormalWeb"/>
              <w:spacing w:before="0" w:beforeAutospacing="0" w:after="0" w:afterAutospacing="0"/>
              <w:rPr>
                <w:sz w:val="22"/>
                <w:szCs w:val="22"/>
              </w:rPr>
            </w:pPr>
            <w:r w:rsidRPr="546EFB79">
              <w:rPr>
                <w:b/>
                <w:bCs/>
                <w:color w:val="000000" w:themeColor="text1"/>
                <w:sz w:val="22"/>
                <w:szCs w:val="22"/>
              </w:rPr>
              <w:t xml:space="preserve">EG.6-14 </w:t>
            </w:r>
            <w:r w:rsidRPr="546EFB79">
              <w:rPr>
                <w:color w:val="000000" w:themeColor="text1"/>
                <w:sz w:val="22"/>
                <w:szCs w:val="22"/>
              </w:rPr>
              <w:t>Percent of individuals who complete USG-assisted workforce development programs [Number of women]</w:t>
            </w:r>
          </w:p>
          <w:p w14:paraId="2F8B0633" w14:textId="77777777" w:rsidR="00B43D7B" w:rsidRPr="005D4651" w:rsidRDefault="00B43D7B" w:rsidP="546EFB79">
            <w:pPr>
              <w:pStyle w:val="NormalWeb"/>
              <w:spacing w:before="0" w:beforeAutospacing="0" w:after="0" w:afterAutospacing="0"/>
            </w:pP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27E8FE98" w14:textId="77777777" w:rsidR="00B43D7B" w:rsidRPr="005D4651" w:rsidRDefault="00B43D7B" w:rsidP="546EFB79">
            <w:pPr>
              <w:pStyle w:val="NormalWeb"/>
              <w:spacing w:before="0" w:beforeAutospacing="0" w:after="0" w:afterAutospacing="0"/>
              <w:rPr>
                <w:rFonts w:eastAsia="Calibri"/>
                <w:color w:val="000000" w:themeColor="text1"/>
                <w:sz w:val="22"/>
                <w:szCs w:val="22"/>
              </w:rPr>
            </w:pPr>
          </w:p>
        </w:tc>
        <w:tc>
          <w:tcPr>
            <w:tcW w:w="1980" w:type="dxa"/>
            <w:tcBorders>
              <w:top w:val="nil"/>
              <w:left w:val="single" w:sz="4" w:space="0" w:color="auto"/>
              <w:bottom w:val="nil"/>
              <w:right w:val="nil"/>
            </w:tcBorders>
          </w:tcPr>
          <w:p w14:paraId="41C8F396"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2A551F91" w14:textId="77777777" w:rsidTr="546EFB79">
        <w:trPr>
          <w:trHeight w:val="530"/>
        </w:trPr>
        <w:tc>
          <w:tcPr>
            <w:tcW w:w="3325" w:type="dxa"/>
          </w:tcPr>
          <w:p w14:paraId="7E131CE4" w14:textId="77777777" w:rsidR="00B43D7B" w:rsidRPr="005D4651" w:rsidRDefault="0E8E7E1A" w:rsidP="546EFB79">
            <w:pPr>
              <w:pStyle w:val="NormalWeb"/>
              <w:spacing w:before="0" w:beforeAutospacing="0" w:after="0" w:afterAutospacing="0"/>
              <w:rPr>
                <w:color w:val="000000" w:themeColor="text1"/>
                <w:sz w:val="22"/>
                <w:szCs w:val="22"/>
              </w:rPr>
            </w:pPr>
            <w:r w:rsidRPr="546EFB79">
              <w:rPr>
                <w:b/>
                <w:bCs/>
                <w:color w:val="000000" w:themeColor="text1"/>
                <w:sz w:val="22"/>
                <w:szCs w:val="22"/>
              </w:rPr>
              <w:t>DR.4.2-1</w:t>
            </w:r>
            <w:r w:rsidRPr="546EFB79">
              <w:rPr>
                <w:color w:val="000000" w:themeColor="text1"/>
                <w:sz w:val="22"/>
                <w:szCs w:val="22"/>
              </w:rPr>
              <w:t xml:space="preserve"> Number of human rights organizations trained and supported</w:t>
            </w:r>
          </w:p>
          <w:p w14:paraId="38CBDB88" w14:textId="77777777" w:rsidR="00B43D7B" w:rsidRPr="005D4651" w:rsidRDefault="00B43D7B" w:rsidP="546EFB79">
            <w:pPr>
              <w:pStyle w:val="NormalWeb"/>
              <w:spacing w:before="0" w:beforeAutospacing="0" w:after="0" w:afterAutospacing="0"/>
            </w:pPr>
          </w:p>
        </w:tc>
        <w:tc>
          <w:tcPr>
            <w:tcW w:w="3510" w:type="dxa"/>
          </w:tcPr>
          <w:p w14:paraId="055831D4" w14:textId="77777777" w:rsidR="00B43D7B" w:rsidRPr="005D4651" w:rsidRDefault="1A11DE7B" w:rsidP="546EFB79">
            <w:pPr>
              <w:pStyle w:val="NormalWeb"/>
              <w:spacing w:before="0" w:beforeAutospacing="0" w:after="0" w:afterAutospacing="0"/>
              <w:rPr>
                <w:sz w:val="22"/>
                <w:szCs w:val="22"/>
              </w:rPr>
            </w:pPr>
            <w:r w:rsidRPr="546EFB79">
              <w:rPr>
                <w:b/>
                <w:bCs/>
                <w:color w:val="000000" w:themeColor="text1"/>
                <w:sz w:val="22"/>
                <w:szCs w:val="22"/>
              </w:rPr>
              <w:t>EG 6-15</w:t>
            </w:r>
            <w:r w:rsidRPr="546EFB79">
              <w:rPr>
                <w:color w:val="000000" w:themeColor="text1"/>
                <w:sz w:val="22"/>
                <w:szCs w:val="22"/>
              </w:rPr>
              <w:t xml:space="preserve"> Percent of individuals with new employment following participation in USG-assisted workforce development programs [Number of whom are women]</w:t>
            </w:r>
          </w:p>
          <w:p w14:paraId="3252E4E0" w14:textId="77777777" w:rsidR="00B43D7B" w:rsidRPr="005D4651" w:rsidRDefault="00B43D7B" w:rsidP="546EFB79">
            <w:pPr>
              <w:pStyle w:val="NormalWeb"/>
              <w:spacing w:before="0" w:beforeAutospacing="0" w:after="0" w:afterAutospacing="0"/>
            </w:pPr>
          </w:p>
        </w:tc>
        <w:tc>
          <w:tcPr>
            <w:tcW w:w="3150" w:type="dxa"/>
            <w:tcBorders>
              <w:right w:val="single" w:sz="4" w:space="0" w:color="auto"/>
            </w:tcBorders>
          </w:tcPr>
          <w:p w14:paraId="72A3D3EC" w14:textId="77777777" w:rsidR="00B43D7B" w:rsidRPr="005D4651" w:rsidRDefault="00B43D7B" w:rsidP="007D041D">
            <w:pPr>
              <w:pStyle w:val="NormalWeb"/>
              <w:spacing w:before="0" w:beforeAutospacing="0" w:after="0" w:afterAutospacing="0"/>
              <w:rPr>
                <w:sz w:val="22"/>
                <w:szCs w:val="22"/>
              </w:rPr>
            </w:pPr>
          </w:p>
        </w:tc>
        <w:tc>
          <w:tcPr>
            <w:tcW w:w="1980" w:type="dxa"/>
            <w:tcBorders>
              <w:top w:val="nil"/>
              <w:left w:val="single" w:sz="4" w:space="0" w:color="auto"/>
              <w:bottom w:val="nil"/>
              <w:right w:val="nil"/>
            </w:tcBorders>
          </w:tcPr>
          <w:p w14:paraId="0D0B940D" w14:textId="77777777" w:rsidR="00B43D7B" w:rsidRPr="005D4651" w:rsidRDefault="00B43D7B" w:rsidP="007D041D">
            <w:pPr>
              <w:pStyle w:val="NormalWeb"/>
              <w:spacing w:before="0" w:beforeAutospacing="0" w:after="0" w:afterAutospacing="0"/>
              <w:rPr>
                <w:sz w:val="22"/>
                <w:szCs w:val="22"/>
              </w:rPr>
            </w:pPr>
          </w:p>
        </w:tc>
      </w:tr>
      <w:tr w:rsidR="00B43D7B" w:rsidRPr="0007486C" w14:paraId="7F785EF4" w14:textId="77777777" w:rsidTr="546EFB79">
        <w:trPr>
          <w:trHeight w:val="530"/>
        </w:trPr>
        <w:tc>
          <w:tcPr>
            <w:tcW w:w="3325" w:type="dxa"/>
          </w:tcPr>
          <w:p w14:paraId="57CE9DD9" w14:textId="77777777" w:rsidR="00B43D7B" w:rsidRPr="005D4651" w:rsidRDefault="2BC61F01" w:rsidP="546EFB79">
            <w:pPr>
              <w:pStyle w:val="NormalWeb"/>
              <w:spacing w:before="0" w:beforeAutospacing="0" w:after="0" w:afterAutospacing="0"/>
              <w:rPr>
                <w:sz w:val="22"/>
                <w:szCs w:val="22"/>
              </w:rPr>
            </w:pPr>
            <w:r w:rsidRPr="546EFB79">
              <w:rPr>
                <w:b/>
                <w:bCs/>
                <w:color w:val="000000" w:themeColor="text1"/>
                <w:sz w:val="22"/>
                <w:szCs w:val="22"/>
              </w:rPr>
              <w:t>DR4.2-2b</w:t>
            </w:r>
            <w:r w:rsidRPr="546EFB79">
              <w:rPr>
                <w:color w:val="000000" w:themeColor="text1"/>
                <w:sz w:val="22"/>
                <w:szCs w:val="22"/>
              </w:rPr>
              <w:t xml:space="preserve"> Number of women’s rights civil society organizations (CSOs) receiving USG assistance engaged in advocacy interventions</w:t>
            </w:r>
          </w:p>
          <w:p w14:paraId="0E27B00A" w14:textId="4EA57BAB" w:rsidR="00B43D7B" w:rsidRPr="005D4651" w:rsidRDefault="00B43D7B" w:rsidP="546EFB79">
            <w:pPr>
              <w:pStyle w:val="NormalWeb"/>
              <w:spacing w:before="0" w:beforeAutospacing="0" w:after="0" w:afterAutospacing="0"/>
              <w:rPr>
                <w:color w:val="000000" w:themeColor="dark1"/>
                <w:kern w:val="24"/>
              </w:rPr>
            </w:pPr>
          </w:p>
          <w:p w14:paraId="60061E4C" w14:textId="77777777" w:rsidR="00B43D7B" w:rsidRPr="005D4651" w:rsidRDefault="00B43D7B" w:rsidP="007D041D">
            <w:pPr>
              <w:pStyle w:val="NormalWeb"/>
              <w:spacing w:before="0" w:beforeAutospacing="0" w:after="0" w:afterAutospacing="0"/>
              <w:rPr>
                <w:sz w:val="22"/>
                <w:szCs w:val="22"/>
              </w:rPr>
            </w:pPr>
          </w:p>
        </w:tc>
        <w:tc>
          <w:tcPr>
            <w:tcW w:w="3510" w:type="dxa"/>
          </w:tcPr>
          <w:p w14:paraId="7EC3471E" w14:textId="77777777" w:rsidR="00B43D7B" w:rsidRPr="005D4651" w:rsidRDefault="00B43D7B" w:rsidP="546EFB79">
            <w:pPr>
              <w:pStyle w:val="NormalWeb"/>
              <w:spacing w:before="0" w:beforeAutospacing="0" w:after="0" w:afterAutospacing="0"/>
              <w:rPr>
                <w:color w:val="000000" w:themeColor="text1"/>
                <w:sz w:val="22"/>
                <w:szCs w:val="22"/>
              </w:rPr>
            </w:pPr>
          </w:p>
        </w:tc>
        <w:tc>
          <w:tcPr>
            <w:tcW w:w="3150" w:type="dxa"/>
            <w:tcBorders>
              <w:right w:val="single" w:sz="4" w:space="0" w:color="auto"/>
            </w:tcBorders>
          </w:tcPr>
          <w:p w14:paraId="44EAFD9C"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c>
          <w:tcPr>
            <w:tcW w:w="1980" w:type="dxa"/>
            <w:tcBorders>
              <w:top w:val="nil"/>
              <w:left w:val="single" w:sz="4" w:space="0" w:color="auto"/>
              <w:bottom w:val="nil"/>
              <w:right w:val="nil"/>
            </w:tcBorders>
          </w:tcPr>
          <w:p w14:paraId="4B94D5A5"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182A375E" w14:textId="77777777" w:rsidTr="546EFB79">
        <w:trPr>
          <w:trHeight w:val="530"/>
        </w:trPr>
        <w:tc>
          <w:tcPr>
            <w:tcW w:w="3325" w:type="dxa"/>
          </w:tcPr>
          <w:p w14:paraId="3073394F" w14:textId="77777777" w:rsidR="00B43D7B" w:rsidRPr="005D4651" w:rsidRDefault="2BC61F01" w:rsidP="546EFB79">
            <w:pPr>
              <w:pStyle w:val="NormalWeb"/>
              <w:spacing w:before="0" w:beforeAutospacing="0" w:after="0" w:afterAutospacing="0"/>
              <w:rPr>
                <w:b/>
                <w:bCs/>
                <w:color w:val="000000" w:themeColor="text1"/>
                <w:sz w:val="22"/>
                <w:szCs w:val="22"/>
              </w:rPr>
            </w:pPr>
            <w:r w:rsidRPr="546EFB79">
              <w:rPr>
                <w:b/>
                <w:bCs/>
                <w:color w:val="000000" w:themeColor="text1"/>
                <w:sz w:val="22"/>
                <w:szCs w:val="22"/>
              </w:rPr>
              <w:t xml:space="preserve">DR.4-1 </w:t>
            </w:r>
            <w:r w:rsidRPr="546EFB79">
              <w:rPr>
                <w:color w:val="000000" w:themeColor="text1"/>
                <w:sz w:val="22"/>
                <w:szCs w:val="22"/>
              </w:rPr>
              <w:t>Number of USG-supported activities designed to promote or strengthen the civic participation of women</w:t>
            </w:r>
          </w:p>
          <w:p w14:paraId="03F16798" w14:textId="77777777" w:rsidR="00B43D7B" w:rsidRPr="005D4651" w:rsidRDefault="00B43D7B" w:rsidP="546EFB79">
            <w:pPr>
              <w:pStyle w:val="NormalWeb"/>
              <w:spacing w:before="0" w:beforeAutospacing="0" w:after="0" w:afterAutospacing="0"/>
            </w:pPr>
          </w:p>
        </w:tc>
        <w:tc>
          <w:tcPr>
            <w:tcW w:w="3510" w:type="dxa"/>
          </w:tcPr>
          <w:p w14:paraId="3DEEC669" w14:textId="77777777" w:rsidR="00B43D7B" w:rsidRPr="005D4651" w:rsidRDefault="00B43D7B" w:rsidP="007D041D">
            <w:pPr>
              <w:pStyle w:val="NormalWeb"/>
              <w:spacing w:before="0" w:beforeAutospacing="0" w:after="0" w:afterAutospacing="0"/>
              <w:rPr>
                <w:sz w:val="22"/>
                <w:szCs w:val="22"/>
              </w:rPr>
            </w:pPr>
          </w:p>
        </w:tc>
        <w:tc>
          <w:tcPr>
            <w:tcW w:w="3150" w:type="dxa"/>
            <w:tcBorders>
              <w:right w:val="single" w:sz="4" w:space="0" w:color="auto"/>
            </w:tcBorders>
          </w:tcPr>
          <w:p w14:paraId="3656B9AB"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c>
          <w:tcPr>
            <w:tcW w:w="1980" w:type="dxa"/>
            <w:tcBorders>
              <w:top w:val="nil"/>
              <w:left w:val="single" w:sz="4" w:space="0" w:color="auto"/>
              <w:bottom w:val="nil"/>
              <w:right w:val="nil"/>
            </w:tcBorders>
          </w:tcPr>
          <w:p w14:paraId="45FB0818"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1814A850" w14:textId="77777777" w:rsidTr="546EFB79">
        <w:trPr>
          <w:trHeight w:val="530"/>
        </w:trPr>
        <w:tc>
          <w:tcPr>
            <w:tcW w:w="3325" w:type="dxa"/>
          </w:tcPr>
          <w:p w14:paraId="02C852D5" w14:textId="77777777" w:rsidR="00B43D7B" w:rsidRPr="00447A94" w:rsidRDefault="2BC61F01" w:rsidP="546EFB79">
            <w:pPr>
              <w:pStyle w:val="NormalWeb"/>
              <w:spacing w:before="0" w:beforeAutospacing="0" w:after="0" w:afterAutospacing="0"/>
              <w:rPr>
                <w:b/>
                <w:bCs/>
                <w:color w:val="000000" w:themeColor="text1"/>
                <w:sz w:val="22"/>
                <w:szCs w:val="22"/>
              </w:rPr>
            </w:pPr>
            <w:r w:rsidRPr="546EFB79">
              <w:rPr>
                <w:b/>
                <w:bCs/>
                <w:color w:val="000000" w:themeColor="text1"/>
                <w:sz w:val="22"/>
                <w:szCs w:val="22"/>
              </w:rPr>
              <w:t xml:space="preserve">GNDR-1 </w:t>
            </w:r>
            <w:r w:rsidRPr="546EFB79">
              <w:rPr>
                <w:color w:val="000000" w:themeColor="text1"/>
                <w:sz w:val="22"/>
                <w:szCs w:val="22"/>
              </w:rPr>
              <w:t>Number of legal instruments drafted, proposed, or adopted with USG assistance designed to promote gender equality or non-discrimination against women or girls at the national or sub-national level (and name them)</w:t>
            </w:r>
          </w:p>
          <w:p w14:paraId="2B7FBE31" w14:textId="77777777" w:rsidR="00B43D7B" w:rsidRPr="00447A94" w:rsidRDefault="00B43D7B" w:rsidP="546EFB79">
            <w:pPr>
              <w:pStyle w:val="NormalWeb"/>
              <w:spacing w:before="0" w:beforeAutospacing="0" w:after="0" w:afterAutospacing="0"/>
              <w:rPr>
                <w:color w:val="000000" w:themeColor="dark1"/>
                <w:kern w:val="24"/>
              </w:rPr>
            </w:pPr>
          </w:p>
        </w:tc>
        <w:tc>
          <w:tcPr>
            <w:tcW w:w="3510" w:type="dxa"/>
          </w:tcPr>
          <w:p w14:paraId="049F31CB" w14:textId="77777777" w:rsidR="00B43D7B" w:rsidRPr="005D4651" w:rsidRDefault="00B43D7B" w:rsidP="007D041D">
            <w:pPr>
              <w:pStyle w:val="NormalWeb"/>
              <w:spacing w:before="0" w:beforeAutospacing="0" w:after="0" w:afterAutospacing="0"/>
              <w:rPr>
                <w:sz w:val="22"/>
                <w:szCs w:val="22"/>
              </w:rPr>
            </w:pPr>
          </w:p>
        </w:tc>
        <w:tc>
          <w:tcPr>
            <w:tcW w:w="3150" w:type="dxa"/>
            <w:tcBorders>
              <w:right w:val="single" w:sz="4" w:space="0" w:color="auto"/>
            </w:tcBorders>
          </w:tcPr>
          <w:p w14:paraId="53128261"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c>
          <w:tcPr>
            <w:tcW w:w="1980" w:type="dxa"/>
            <w:tcBorders>
              <w:top w:val="nil"/>
              <w:left w:val="single" w:sz="4" w:space="0" w:color="auto"/>
              <w:bottom w:val="nil"/>
              <w:right w:val="nil"/>
            </w:tcBorders>
          </w:tcPr>
          <w:p w14:paraId="62486C05"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31E38A61" w14:textId="77777777" w:rsidTr="546EFB79">
        <w:trPr>
          <w:trHeight w:val="530"/>
        </w:trPr>
        <w:tc>
          <w:tcPr>
            <w:tcW w:w="3325" w:type="dxa"/>
          </w:tcPr>
          <w:p w14:paraId="209938DB" w14:textId="77777777" w:rsidR="00B43D7B" w:rsidRPr="00447A94" w:rsidRDefault="2BC61F01" w:rsidP="546EFB79">
            <w:pPr>
              <w:pStyle w:val="NormalWeb"/>
              <w:spacing w:before="0" w:beforeAutospacing="0" w:after="0" w:afterAutospacing="0"/>
              <w:rPr>
                <w:sz w:val="22"/>
                <w:szCs w:val="22"/>
                <w:highlight w:val="yellow"/>
              </w:rPr>
            </w:pPr>
            <w:r w:rsidRPr="546EFB79">
              <w:rPr>
                <w:b/>
                <w:bCs/>
                <w:sz w:val="22"/>
                <w:szCs w:val="22"/>
              </w:rPr>
              <w:t>PS.6.2-4b</w:t>
            </w:r>
            <w:r w:rsidRPr="546EFB79">
              <w:rPr>
                <w:sz w:val="22"/>
                <w:szCs w:val="22"/>
              </w:rPr>
              <w:t xml:space="preserve"> Number of women participating in U.S. Government-supported events, trainings, or activities designed to build mass support for peace and reconciliation.</w:t>
            </w:r>
          </w:p>
          <w:p w14:paraId="0A697425" w14:textId="77777777" w:rsidR="00B43D7B" w:rsidRPr="00447A94" w:rsidRDefault="00B43D7B" w:rsidP="546EFB79">
            <w:pPr>
              <w:pStyle w:val="NormalWeb"/>
              <w:spacing w:before="0" w:beforeAutospacing="0" w:after="0" w:afterAutospacing="0"/>
              <w:rPr>
                <w:color w:val="000000" w:themeColor="dark1"/>
                <w:kern w:val="24"/>
              </w:rPr>
            </w:pPr>
          </w:p>
        </w:tc>
        <w:tc>
          <w:tcPr>
            <w:tcW w:w="3510" w:type="dxa"/>
          </w:tcPr>
          <w:p w14:paraId="4101652C" w14:textId="77777777" w:rsidR="00B43D7B" w:rsidRPr="005D4651" w:rsidRDefault="00B43D7B" w:rsidP="007D041D">
            <w:pPr>
              <w:pStyle w:val="NormalWeb"/>
              <w:spacing w:before="0" w:beforeAutospacing="0" w:after="0" w:afterAutospacing="0"/>
              <w:rPr>
                <w:sz w:val="22"/>
                <w:szCs w:val="22"/>
              </w:rPr>
            </w:pPr>
          </w:p>
        </w:tc>
        <w:tc>
          <w:tcPr>
            <w:tcW w:w="3150" w:type="dxa"/>
            <w:tcBorders>
              <w:right w:val="single" w:sz="4" w:space="0" w:color="auto"/>
            </w:tcBorders>
          </w:tcPr>
          <w:p w14:paraId="4B99056E"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c>
          <w:tcPr>
            <w:tcW w:w="1980" w:type="dxa"/>
            <w:tcBorders>
              <w:top w:val="nil"/>
              <w:left w:val="single" w:sz="4" w:space="0" w:color="auto"/>
              <w:bottom w:val="nil"/>
              <w:right w:val="nil"/>
            </w:tcBorders>
          </w:tcPr>
          <w:p w14:paraId="1299C43A"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r w:rsidR="00B43D7B" w:rsidRPr="0007486C" w14:paraId="21C24E34" w14:textId="77777777" w:rsidTr="546EFB79">
        <w:trPr>
          <w:trHeight w:val="530"/>
        </w:trPr>
        <w:tc>
          <w:tcPr>
            <w:tcW w:w="3325" w:type="dxa"/>
          </w:tcPr>
          <w:p w14:paraId="5E66F772" w14:textId="77777777" w:rsidR="00B43D7B" w:rsidRPr="00447A94" w:rsidRDefault="2BC61F01" w:rsidP="546EFB79">
            <w:pPr>
              <w:pStyle w:val="NormalWeb"/>
              <w:spacing w:before="0" w:beforeAutospacing="0" w:after="0" w:afterAutospacing="0"/>
              <w:rPr>
                <w:sz w:val="22"/>
                <w:szCs w:val="22"/>
              </w:rPr>
            </w:pPr>
            <w:r w:rsidRPr="546EFB79">
              <w:rPr>
                <w:b/>
                <w:bCs/>
                <w:sz w:val="22"/>
                <w:szCs w:val="22"/>
              </w:rPr>
              <w:t>WPS4.1-1</w:t>
            </w:r>
            <w:r w:rsidRPr="546EFB79">
              <w:rPr>
                <w:sz w:val="22"/>
                <w:szCs w:val="22"/>
              </w:rPr>
              <w:t xml:space="preserve"> Number of countries that develop, revise, or implement National Action Plans on WPS with U.S. diplomatic or programmatic support.</w:t>
            </w:r>
          </w:p>
          <w:p w14:paraId="5AE9B765" w14:textId="77777777" w:rsidR="00B43D7B" w:rsidRPr="00447A94" w:rsidRDefault="00B43D7B" w:rsidP="546EFB79">
            <w:pPr>
              <w:pStyle w:val="NormalWeb"/>
              <w:spacing w:before="0" w:beforeAutospacing="0" w:after="0" w:afterAutospacing="0"/>
              <w:rPr>
                <w:color w:val="000000" w:themeColor="dark1"/>
                <w:kern w:val="24"/>
              </w:rPr>
            </w:pPr>
          </w:p>
        </w:tc>
        <w:tc>
          <w:tcPr>
            <w:tcW w:w="3510" w:type="dxa"/>
          </w:tcPr>
          <w:p w14:paraId="4DDBEF00" w14:textId="77777777" w:rsidR="00B43D7B" w:rsidRPr="005D4651" w:rsidRDefault="00B43D7B" w:rsidP="007D041D">
            <w:pPr>
              <w:pStyle w:val="NormalWeb"/>
              <w:spacing w:before="0" w:beforeAutospacing="0" w:after="0" w:afterAutospacing="0"/>
              <w:rPr>
                <w:sz w:val="22"/>
                <w:szCs w:val="22"/>
              </w:rPr>
            </w:pPr>
          </w:p>
        </w:tc>
        <w:tc>
          <w:tcPr>
            <w:tcW w:w="3150" w:type="dxa"/>
            <w:tcBorders>
              <w:bottom w:val="single" w:sz="4" w:space="0" w:color="auto"/>
              <w:right w:val="single" w:sz="4" w:space="0" w:color="auto"/>
            </w:tcBorders>
          </w:tcPr>
          <w:p w14:paraId="3461D779"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c>
          <w:tcPr>
            <w:tcW w:w="1980" w:type="dxa"/>
            <w:tcBorders>
              <w:top w:val="nil"/>
              <w:left w:val="single" w:sz="4" w:space="0" w:color="auto"/>
              <w:bottom w:val="nil"/>
              <w:right w:val="nil"/>
            </w:tcBorders>
          </w:tcPr>
          <w:p w14:paraId="3CF2D8B6" w14:textId="77777777" w:rsidR="00B43D7B" w:rsidRPr="005D4651" w:rsidRDefault="00B43D7B" w:rsidP="007D041D">
            <w:pPr>
              <w:pStyle w:val="NormalWeb"/>
              <w:spacing w:before="0" w:beforeAutospacing="0" w:after="0" w:afterAutospacing="0"/>
              <w:rPr>
                <w:b/>
                <w:bCs/>
                <w:color w:val="000000" w:themeColor="dark1"/>
                <w:kern w:val="24"/>
                <w:sz w:val="22"/>
                <w:szCs w:val="22"/>
              </w:rPr>
            </w:pPr>
          </w:p>
        </w:tc>
      </w:tr>
    </w:tbl>
    <w:p w14:paraId="067A3A4B" w14:textId="0F7D67A9" w:rsidR="546EFB79" w:rsidRDefault="546EFB79"/>
    <w:p w14:paraId="6B699379" w14:textId="77777777" w:rsidR="00B43D7B" w:rsidRPr="007800F2" w:rsidRDefault="00B43D7B" w:rsidP="00B43D7B">
      <w:pPr>
        <w:spacing w:after="0" w:line="240" w:lineRule="auto"/>
        <w:rPr>
          <w:rFonts w:ascii="Times New Roman" w:eastAsia="Times New Roman" w:hAnsi="Times New Roman" w:cs="Times New Roman"/>
          <w:sz w:val="24"/>
          <w:szCs w:val="24"/>
          <w:highlight w:val="yellow"/>
        </w:rPr>
      </w:pPr>
    </w:p>
    <w:p w14:paraId="3FE9F23F" w14:textId="77777777" w:rsidR="006B5E84" w:rsidRDefault="006B5E84"/>
    <w:sectPr w:rsidR="006B5E8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2F646" w14:textId="77777777" w:rsidR="00B43D7B" w:rsidRDefault="00B43D7B" w:rsidP="00B43D7B">
      <w:pPr>
        <w:spacing w:after="0" w:line="240" w:lineRule="auto"/>
      </w:pPr>
      <w:r>
        <w:separator/>
      </w:r>
    </w:p>
  </w:endnote>
  <w:endnote w:type="continuationSeparator" w:id="0">
    <w:p w14:paraId="08CE6F91" w14:textId="77777777" w:rsidR="00B43D7B" w:rsidRDefault="00B43D7B" w:rsidP="00B4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CFF1180" w14:paraId="5FA01E9A" w14:textId="77777777" w:rsidTr="00F3394C">
      <w:tc>
        <w:tcPr>
          <w:tcW w:w="3120" w:type="dxa"/>
        </w:tcPr>
        <w:p w14:paraId="2D8F4E36" w14:textId="251359AF" w:rsidR="5CFF1180" w:rsidRDefault="5CFF1180" w:rsidP="00F3394C">
          <w:pPr>
            <w:pStyle w:val="Header"/>
            <w:ind w:left="-115"/>
            <w:rPr>
              <w:color w:val="000000" w:themeColor="text1"/>
            </w:rPr>
          </w:pPr>
        </w:p>
      </w:tc>
      <w:tc>
        <w:tcPr>
          <w:tcW w:w="3120" w:type="dxa"/>
        </w:tcPr>
        <w:p w14:paraId="32DAACB8" w14:textId="68E81B2C" w:rsidR="5CFF1180" w:rsidRDefault="5CFF1180" w:rsidP="00F3394C">
          <w:pPr>
            <w:pStyle w:val="Header"/>
            <w:jc w:val="center"/>
            <w:rPr>
              <w:color w:val="000000" w:themeColor="text1"/>
            </w:rPr>
          </w:pPr>
        </w:p>
      </w:tc>
      <w:tc>
        <w:tcPr>
          <w:tcW w:w="3120" w:type="dxa"/>
        </w:tcPr>
        <w:p w14:paraId="70125821" w14:textId="15030ACF" w:rsidR="5CFF1180" w:rsidRDefault="546EFB79" w:rsidP="546EFB79">
          <w:pPr>
            <w:pStyle w:val="Header"/>
            <w:ind w:right="-115"/>
            <w:jc w:val="right"/>
            <w:rPr>
              <w:rFonts w:ascii="Times New Roman" w:eastAsia="Times New Roman" w:hAnsi="Times New Roman" w:cs="Times New Roman"/>
              <w:color w:val="000000" w:themeColor="text1"/>
            </w:rPr>
          </w:pPr>
          <w:r w:rsidRPr="546EFB79">
            <w:rPr>
              <w:rFonts w:ascii="Times New Roman" w:eastAsia="Times New Roman" w:hAnsi="Times New Roman" w:cs="Times New Roman"/>
            </w:rPr>
            <w:t>Last updated June 22, 2021</w:t>
          </w:r>
        </w:p>
      </w:tc>
    </w:tr>
  </w:tbl>
  <w:p w14:paraId="3ACC8B16" w14:textId="45B375F2" w:rsidR="5CFF1180" w:rsidRDefault="5CFF1180" w:rsidP="546EFB79">
    <w:pPr>
      <w:pStyle w:val="Footer"/>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DCEAD" w14:textId="77777777" w:rsidR="00B43D7B" w:rsidRDefault="00B43D7B" w:rsidP="00B43D7B">
      <w:pPr>
        <w:spacing w:after="0" w:line="240" w:lineRule="auto"/>
      </w:pPr>
      <w:r>
        <w:separator/>
      </w:r>
    </w:p>
  </w:footnote>
  <w:footnote w:type="continuationSeparator" w:id="0">
    <w:p w14:paraId="6BB9E253" w14:textId="77777777" w:rsidR="00B43D7B" w:rsidRDefault="00B43D7B" w:rsidP="00B43D7B">
      <w:pPr>
        <w:spacing w:after="0" w:line="240" w:lineRule="auto"/>
      </w:pPr>
      <w:r>
        <w:continuationSeparator/>
      </w:r>
    </w:p>
  </w:footnote>
  <w:footnote w:id="1">
    <w:p w14:paraId="515B568B" w14:textId="067105D3" w:rsidR="00B43D7B" w:rsidRPr="00DA484E" w:rsidRDefault="00B43D7B" w:rsidP="546EFB79">
      <w:pPr>
        <w:pStyle w:val="FootnoteText"/>
        <w:rPr>
          <w:rFonts w:ascii="Times New Roman" w:hAnsi="Times New Roman" w:cs="Times New Roman"/>
        </w:rPr>
      </w:pPr>
      <w:r w:rsidRPr="00DA484E">
        <w:rPr>
          <w:rStyle w:val="FootnoteReference"/>
          <w:rFonts w:ascii="Times New Roman" w:hAnsi="Times New Roman" w:cs="Times New Roman"/>
        </w:rPr>
        <w:footnoteRef/>
      </w:r>
      <w:r w:rsidR="546EFB79" w:rsidRPr="00DA484E">
        <w:rPr>
          <w:rFonts w:ascii="Times New Roman" w:hAnsi="Times New Roman" w:cs="Times New Roman"/>
        </w:rPr>
        <w:t xml:space="preserve"> Women, Peace, and Security (WPS); w</w:t>
      </w:r>
      <w:r w:rsidR="546EFB79" w:rsidRPr="546EFB79">
        <w:rPr>
          <w:rFonts w:ascii="Times New Roman" w:eastAsia="Times New Roman" w:hAnsi="Times New Roman" w:cs="Times New Roman"/>
          <w:color w:val="000000" w:themeColor="text1"/>
        </w:rPr>
        <w:t>omen's economic e</w:t>
      </w:r>
      <w:r w:rsidR="546EFB79" w:rsidRPr="5CFF1180">
        <w:rPr>
          <w:rFonts w:ascii="Times New Roman" w:eastAsia="Times New Roman" w:hAnsi="Times New Roman" w:cs="Times New Roman"/>
          <w:color w:val="000000" w:themeColor="text1"/>
        </w:rPr>
        <w:t>mpowerment</w:t>
      </w:r>
      <w:r w:rsidR="546EFB79" w:rsidRPr="5CFF1180">
        <w:rPr>
          <w:rFonts w:ascii="Times New Roman" w:eastAsia="Times New Roman" w:hAnsi="Times New Roman" w:cs="Times New Roman"/>
        </w:rPr>
        <w:t xml:space="preserve"> (WEE)</w:t>
      </w:r>
      <w:r w:rsidR="546EFB79" w:rsidRPr="00DA484E">
        <w:rPr>
          <w:rFonts w:ascii="Times New Roman" w:hAnsi="Times New Roman" w:cs="Times New Roman"/>
        </w:rPr>
        <w:t>; gender-based violence (GBV)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41BA" w14:textId="77777777" w:rsidR="00B43D7B" w:rsidRPr="00B43D7B" w:rsidRDefault="00B43D7B" w:rsidP="00B43D7B">
    <w:pPr>
      <w:pStyle w:val="Header"/>
      <w:jc w:val="center"/>
      <w:rPr>
        <w:rFonts w:ascii="Times New Roman" w:hAnsi="Times New Roman" w:cs="Times New Roman"/>
        <w:sz w:val="24"/>
        <w:szCs w:val="24"/>
      </w:rPr>
    </w:pPr>
    <w:r w:rsidRPr="00B43D7B">
      <w:rPr>
        <w:rFonts w:ascii="Times New Roman" w:hAnsi="Times New Roman" w:cs="Times New Roman"/>
        <w:sz w:val="24"/>
        <w:szCs w:val="24"/>
      </w:rPr>
      <w:t>S/GWI U.S. Foreign Assistance (FA) Indicators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61F"/>
    <w:rsid w:val="0047061F"/>
    <w:rsid w:val="006B5E84"/>
    <w:rsid w:val="00B43D7B"/>
    <w:rsid w:val="00F3394C"/>
    <w:rsid w:val="0E8E7E1A"/>
    <w:rsid w:val="12DE4DC1"/>
    <w:rsid w:val="14C7B5FD"/>
    <w:rsid w:val="1A11DE7B"/>
    <w:rsid w:val="1B3E1ABE"/>
    <w:rsid w:val="1E18CB24"/>
    <w:rsid w:val="2BC61F01"/>
    <w:rsid w:val="2CF0D932"/>
    <w:rsid w:val="343595F0"/>
    <w:rsid w:val="35D40AE4"/>
    <w:rsid w:val="3F97BA81"/>
    <w:rsid w:val="4AC73DD7"/>
    <w:rsid w:val="546EFB79"/>
    <w:rsid w:val="562D6CE3"/>
    <w:rsid w:val="5A302A95"/>
    <w:rsid w:val="5CFF1180"/>
    <w:rsid w:val="5E506730"/>
    <w:rsid w:val="670CBA5E"/>
    <w:rsid w:val="6935871A"/>
    <w:rsid w:val="6EEB0428"/>
    <w:rsid w:val="74E24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A852D"/>
  <w15:chartTrackingRefBased/>
  <w15:docId w15:val="{6344FC1E-D75E-46DF-9210-AD7365005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43D7B"/>
    <w:pPr>
      <w:pBdr>
        <w:top w:val="nil"/>
        <w:left w:val="nil"/>
        <w:bottom w:val="nil"/>
        <w:right w:val="nil"/>
        <w:between w:val="nil"/>
      </w:pBdr>
      <w:spacing w:after="20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43D7B"/>
    <w:pPr>
      <w:spacing w:after="0" w:line="240" w:lineRule="auto"/>
    </w:pPr>
    <w:rPr>
      <w:sz w:val="20"/>
      <w:szCs w:val="20"/>
    </w:rPr>
  </w:style>
  <w:style w:type="character" w:customStyle="1" w:styleId="FootnoteTextChar">
    <w:name w:val="Footnote Text Char"/>
    <w:basedOn w:val="DefaultParagraphFont"/>
    <w:link w:val="FootnoteText"/>
    <w:uiPriority w:val="99"/>
    <w:rsid w:val="00B43D7B"/>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B43D7B"/>
    <w:rPr>
      <w:vertAlign w:val="superscript"/>
    </w:rPr>
  </w:style>
  <w:style w:type="table" w:styleId="TableGrid">
    <w:name w:val="Table Grid"/>
    <w:basedOn w:val="TableNormal"/>
    <w:uiPriority w:val="39"/>
    <w:rsid w:val="00B43D7B"/>
    <w:pPr>
      <w:pBdr>
        <w:top w:val="nil"/>
        <w:left w:val="nil"/>
        <w:bottom w:val="nil"/>
        <w:right w:val="nil"/>
        <w:between w:val="nil"/>
      </w:pBdr>
      <w:spacing w:after="0" w:line="240" w:lineRule="auto"/>
    </w:pPr>
    <w:rPr>
      <w:rFonts w:ascii="Calibri" w:eastAsia="Calibri" w:hAnsi="Calibri" w:cs="Calibr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3D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B43D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D7B"/>
    <w:rPr>
      <w:rFonts w:ascii="Calibri" w:eastAsia="Calibri" w:hAnsi="Calibri" w:cs="Calibri"/>
      <w:color w:val="000000"/>
    </w:rPr>
  </w:style>
  <w:style w:type="paragraph" w:styleId="Footer">
    <w:name w:val="footer"/>
    <w:basedOn w:val="Normal"/>
    <w:link w:val="FooterChar"/>
    <w:uiPriority w:val="99"/>
    <w:unhideWhenUsed/>
    <w:rsid w:val="00B43D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D7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3132</Characters>
  <Application>Microsoft Office Word</Application>
  <DocSecurity>0</DocSecurity>
  <Lines>26</Lines>
  <Paragraphs>7</Paragraphs>
  <ScaleCrop>false</ScaleCrop>
  <Company>U.S. Department of State</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Curley, Sara L</dc:creator>
  <cp:keywords/>
  <dc:description/>
  <cp:lastModifiedBy>Curley, Sara L</cp:lastModifiedBy>
  <cp:revision>6</cp:revision>
  <dcterms:created xsi:type="dcterms:W3CDTF">2020-01-31T18:11:00Z</dcterms:created>
  <dcterms:modified xsi:type="dcterms:W3CDTF">2021-07-02T19:09:00Z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CurleySL@state.gov</vt:lpwstr>
  </property>
  <property fmtid="{D5CDD505-2E9C-101B-9397-08002B2CF9AE}" pid="5" name="MSIP_Label_1665d9ee-429a-4d5f-97cc-cfb56e044a6e_SetDate">
    <vt:lpwstr>2020-01-31T18:12:15.1799952Z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23eeabfb-71a8-48bb-84c5-5c0f1fedbe73</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ies>
</file>