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99" w:rsidRDefault="00807399" w:rsidP="003D47A1">
      <w:pPr>
        <w:pStyle w:val="Heading1"/>
        <w:spacing w:line="276" w:lineRule="auto"/>
        <w:rPr>
          <w:rFonts w:ascii="Arial" w:hAnsi="Arial" w:cs="Arial"/>
          <w:b/>
        </w:rPr>
      </w:pPr>
      <w:bookmarkStart w:id="0" w:name="_Toc48307255"/>
      <w:r w:rsidRPr="003D47A1">
        <w:rPr>
          <w:rFonts w:ascii="Arial" w:hAnsi="Arial" w:cs="Arial"/>
          <w:b/>
        </w:rPr>
        <w:t>Armenia</w:t>
      </w:r>
      <w:bookmarkEnd w:id="0"/>
    </w:p>
    <w:p w:rsidR="003D47A1" w:rsidRPr="003D47A1" w:rsidRDefault="003D47A1" w:rsidP="003D47A1"/>
    <w:tbl>
      <w:tblPr>
        <w:tblStyle w:val="ListTable1Light-Accent5"/>
        <w:tblW w:w="9180" w:type="dxa"/>
        <w:tblLook w:val="04A0" w:firstRow="1" w:lastRow="0" w:firstColumn="1" w:lastColumn="0" w:noHBand="0" w:noVBand="1"/>
      </w:tblPr>
      <w:tblGrid>
        <w:gridCol w:w="5580"/>
        <w:gridCol w:w="3600"/>
      </w:tblGrid>
      <w:tr w:rsidR="00807399" w:rsidRPr="003D47A1" w:rsidTr="003D4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rsidR="00807399" w:rsidRPr="003D47A1" w:rsidRDefault="00807399" w:rsidP="003D47A1">
            <w:pPr>
              <w:spacing w:line="276" w:lineRule="auto"/>
              <w:rPr>
                <w:rFonts w:ascii="Arial" w:hAnsi="Arial" w:cs="Arial"/>
              </w:rPr>
            </w:pPr>
            <w:r w:rsidRPr="003D47A1">
              <w:rPr>
                <w:rFonts w:ascii="Arial" w:hAnsi="Arial" w:cs="Arial"/>
                <w:b w:val="0"/>
              </w:rPr>
              <w:t>Member of Open Government Partnership</w:t>
            </w:r>
          </w:p>
        </w:tc>
        <w:tc>
          <w:tcPr>
            <w:tcW w:w="3600" w:type="dxa"/>
          </w:tcPr>
          <w:p w:rsidR="00807399" w:rsidRPr="003D47A1" w:rsidRDefault="00807399" w:rsidP="003D47A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D47A1">
              <w:rPr>
                <w:rFonts w:ascii="Arial" w:hAnsi="Arial" w:cs="Arial"/>
                <w:b w:val="0"/>
                <w:bCs w:val="0"/>
              </w:rPr>
              <w:t xml:space="preserve">Yes </w:t>
            </w:r>
          </w:p>
        </w:tc>
      </w:tr>
      <w:tr w:rsidR="00807399"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rsidR="00807399" w:rsidRPr="003D47A1" w:rsidRDefault="00807399" w:rsidP="003D47A1">
            <w:pPr>
              <w:spacing w:line="276" w:lineRule="auto"/>
              <w:rPr>
                <w:rFonts w:ascii="Arial" w:hAnsi="Arial" w:cs="Arial"/>
                <w:b w:val="0"/>
              </w:rPr>
            </w:pPr>
            <w:r w:rsidRPr="003D47A1">
              <w:rPr>
                <w:rFonts w:ascii="Arial" w:hAnsi="Arial" w:cs="Arial"/>
                <w:b w:val="0"/>
              </w:rPr>
              <w:t>UN Convention Against Corruption</w:t>
            </w:r>
          </w:p>
        </w:tc>
        <w:tc>
          <w:tcPr>
            <w:tcW w:w="3600" w:type="dxa"/>
          </w:tcPr>
          <w:p w:rsidR="00807399" w:rsidRPr="003D47A1" w:rsidRDefault="00807399"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Ratified in 2007</w:t>
            </w:r>
          </w:p>
        </w:tc>
      </w:tr>
      <w:tr w:rsidR="00807399" w:rsidRPr="003D47A1" w:rsidTr="003D47A1">
        <w:tc>
          <w:tcPr>
            <w:cnfStyle w:val="001000000000" w:firstRow="0" w:lastRow="0" w:firstColumn="1" w:lastColumn="0" w:oddVBand="0" w:evenVBand="0" w:oddHBand="0" w:evenHBand="0" w:firstRowFirstColumn="0" w:firstRowLastColumn="0" w:lastRowFirstColumn="0" w:lastRowLastColumn="0"/>
            <w:tcW w:w="5580" w:type="dxa"/>
          </w:tcPr>
          <w:p w:rsidR="00807399" w:rsidRPr="003D47A1" w:rsidRDefault="00807399" w:rsidP="003D47A1">
            <w:pPr>
              <w:spacing w:line="276" w:lineRule="auto"/>
              <w:rPr>
                <w:rFonts w:ascii="Arial" w:hAnsi="Arial" w:cs="Arial"/>
                <w:b w:val="0"/>
              </w:rPr>
            </w:pPr>
            <w:r w:rsidRPr="003D47A1">
              <w:rPr>
                <w:rFonts w:ascii="Arial" w:hAnsi="Arial" w:cs="Arial"/>
                <w:b w:val="0"/>
              </w:rPr>
              <w:t>Arms Trade Treaty</w:t>
            </w:r>
          </w:p>
        </w:tc>
        <w:tc>
          <w:tcPr>
            <w:tcW w:w="3600" w:type="dxa"/>
          </w:tcPr>
          <w:p w:rsidR="00807399" w:rsidRPr="003D47A1" w:rsidRDefault="00807399"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Not</w:t>
            </w:r>
            <w:r w:rsidR="0043263E" w:rsidRPr="003D47A1">
              <w:rPr>
                <w:rFonts w:ascii="Arial" w:hAnsi="Arial" w:cs="Arial"/>
              </w:rPr>
              <w:t xml:space="preserve"> signed</w:t>
            </w:r>
          </w:p>
        </w:tc>
      </w:tr>
    </w:tbl>
    <w:p w:rsidR="00954ACE" w:rsidRDefault="00E93ED6" w:rsidP="003D47A1">
      <w:pPr>
        <w:spacing w:before="240" w:line="276" w:lineRule="auto"/>
        <w:rPr>
          <w:rFonts w:ascii="Arial" w:hAnsi="Arial" w:cs="Arial"/>
        </w:rPr>
      </w:pPr>
      <w:r w:rsidRPr="003D47A1">
        <w:rPr>
          <w:rFonts w:ascii="Arial" w:hAnsi="Arial" w:cs="Arial"/>
        </w:rPr>
        <w:t xml:space="preserve">The 2018-2020 period in Armenia was one of turmoil on the political scene and in external relations. The Velvet Revolution of 2018, with mass protests against the former </w:t>
      </w:r>
      <w:r w:rsidR="00807399" w:rsidRPr="003D47A1">
        <w:rPr>
          <w:rFonts w:ascii="Arial" w:hAnsi="Arial" w:cs="Arial"/>
        </w:rPr>
        <w:t>President Serzh Sargsyan</w:t>
      </w:r>
      <w:r w:rsidR="001E1B33" w:rsidRPr="003D47A1">
        <w:rPr>
          <w:rFonts w:ascii="Arial" w:hAnsi="Arial" w:cs="Arial"/>
        </w:rPr>
        <w:t>,</w:t>
      </w:r>
      <w:r w:rsidR="00807399" w:rsidRPr="003D47A1">
        <w:rPr>
          <w:rFonts w:ascii="Arial" w:hAnsi="Arial" w:cs="Arial"/>
        </w:rPr>
        <w:t xml:space="preserve"> </w:t>
      </w:r>
      <w:r w:rsidRPr="003D47A1">
        <w:rPr>
          <w:rFonts w:ascii="Arial" w:hAnsi="Arial" w:cs="Arial"/>
        </w:rPr>
        <w:t>resulted in significant political changes and two new governme</w:t>
      </w:r>
      <w:r w:rsidR="00C0424A" w:rsidRPr="003D47A1">
        <w:rPr>
          <w:rFonts w:ascii="Arial" w:hAnsi="Arial" w:cs="Arial"/>
        </w:rPr>
        <w:t>nts in the course of 2018.</w:t>
      </w:r>
      <w:r w:rsidR="00807399" w:rsidRPr="003D47A1">
        <w:rPr>
          <w:rStyle w:val="FootnoteReference"/>
          <w:rFonts w:ascii="Arial" w:hAnsi="Arial" w:cs="Arial"/>
        </w:rPr>
        <w:footnoteReference w:id="1"/>
      </w:r>
      <w:r w:rsidR="00807399" w:rsidRPr="003D47A1">
        <w:rPr>
          <w:rFonts w:ascii="Arial" w:hAnsi="Arial" w:cs="Arial"/>
        </w:rPr>
        <w:t xml:space="preserve"> </w:t>
      </w:r>
      <w:r w:rsidR="00C0424A" w:rsidRPr="003D47A1">
        <w:rPr>
          <w:rFonts w:ascii="Arial" w:hAnsi="Arial" w:cs="Arial"/>
        </w:rPr>
        <w:t xml:space="preserve"> The Civic Contract party</w:t>
      </w:r>
      <w:r w:rsidR="001E1B33" w:rsidRPr="003D47A1">
        <w:rPr>
          <w:rFonts w:ascii="Arial" w:hAnsi="Arial" w:cs="Arial"/>
        </w:rPr>
        <w:t>,</w:t>
      </w:r>
      <w:r w:rsidR="00C0424A" w:rsidRPr="003D47A1">
        <w:rPr>
          <w:rFonts w:ascii="Arial" w:hAnsi="Arial" w:cs="Arial"/>
        </w:rPr>
        <w:t xml:space="preserve"> led </w:t>
      </w:r>
      <w:r w:rsidRPr="003D47A1">
        <w:rPr>
          <w:rFonts w:ascii="Arial" w:hAnsi="Arial" w:cs="Arial"/>
        </w:rPr>
        <w:t>government under Nikol Pashinyan</w:t>
      </w:r>
      <w:r w:rsidR="001E1B33" w:rsidRPr="003D47A1">
        <w:rPr>
          <w:rFonts w:ascii="Arial" w:hAnsi="Arial" w:cs="Arial"/>
        </w:rPr>
        <w:t>,</w:t>
      </w:r>
      <w:r w:rsidRPr="003D47A1">
        <w:rPr>
          <w:rFonts w:ascii="Arial" w:hAnsi="Arial" w:cs="Arial"/>
        </w:rPr>
        <w:t xml:space="preserve"> </w:t>
      </w:r>
      <w:r w:rsidR="00807399" w:rsidRPr="003D47A1">
        <w:rPr>
          <w:rFonts w:ascii="Arial" w:hAnsi="Arial" w:cs="Arial"/>
        </w:rPr>
        <w:t>came to power</w:t>
      </w:r>
      <w:r w:rsidRPr="003D47A1">
        <w:rPr>
          <w:rFonts w:ascii="Arial" w:hAnsi="Arial" w:cs="Arial"/>
        </w:rPr>
        <w:t xml:space="preserve"> on </w:t>
      </w:r>
      <w:r w:rsidR="00807399" w:rsidRPr="003D47A1">
        <w:rPr>
          <w:rFonts w:ascii="Arial" w:hAnsi="Arial" w:cs="Arial"/>
        </w:rPr>
        <w:t>a</w:t>
      </w:r>
      <w:r w:rsidRPr="003D47A1">
        <w:rPr>
          <w:rFonts w:ascii="Arial" w:hAnsi="Arial" w:cs="Arial"/>
        </w:rPr>
        <w:t xml:space="preserve"> platform of </w:t>
      </w:r>
      <w:r w:rsidR="004C6367" w:rsidRPr="003D47A1">
        <w:rPr>
          <w:rFonts w:ascii="Arial" w:hAnsi="Arial" w:cs="Arial"/>
        </w:rPr>
        <w:t>democratic reforms</w:t>
      </w:r>
      <w:r w:rsidRPr="003D47A1">
        <w:rPr>
          <w:rFonts w:ascii="Arial" w:hAnsi="Arial" w:cs="Arial"/>
        </w:rPr>
        <w:t xml:space="preserve">, tackling political corruption, </w:t>
      </w:r>
      <w:r w:rsidR="00807399" w:rsidRPr="003D47A1">
        <w:rPr>
          <w:rFonts w:ascii="Arial" w:hAnsi="Arial" w:cs="Arial"/>
        </w:rPr>
        <w:t>increasing transparency in policy-</w:t>
      </w:r>
      <w:r w:rsidRPr="003D47A1">
        <w:rPr>
          <w:rFonts w:ascii="Arial" w:hAnsi="Arial" w:cs="Arial"/>
        </w:rPr>
        <w:t>making, and maintaining Armenia’s security in the region</w:t>
      </w:r>
      <w:r w:rsidR="004C6367" w:rsidRPr="003D47A1">
        <w:rPr>
          <w:rFonts w:ascii="Arial" w:hAnsi="Arial" w:cs="Arial"/>
        </w:rPr>
        <w:t>.</w:t>
      </w:r>
      <w:r w:rsidR="004C6367" w:rsidRPr="003D47A1">
        <w:rPr>
          <w:rStyle w:val="FootnoteReference"/>
          <w:rFonts w:ascii="Arial" w:hAnsi="Arial" w:cs="Arial"/>
        </w:rPr>
        <w:footnoteReference w:id="2"/>
      </w:r>
      <w:r w:rsidR="004C6367" w:rsidRPr="003D47A1">
        <w:rPr>
          <w:rFonts w:ascii="Arial" w:hAnsi="Arial" w:cs="Arial"/>
        </w:rPr>
        <w:t xml:space="preserve"> </w:t>
      </w:r>
      <w:r w:rsidR="00807399" w:rsidRPr="003D47A1">
        <w:rPr>
          <w:rFonts w:ascii="Arial" w:hAnsi="Arial" w:cs="Arial"/>
        </w:rPr>
        <w:t>However, t</w:t>
      </w:r>
      <w:r w:rsidR="00E2320E" w:rsidRPr="003D47A1">
        <w:rPr>
          <w:rFonts w:ascii="Arial" w:hAnsi="Arial" w:cs="Arial"/>
        </w:rPr>
        <w:t xml:space="preserve">he July 2020 clashes </w:t>
      </w:r>
      <w:r w:rsidR="00A361CD" w:rsidRPr="003D47A1">
        <w:rPr>
          <w:rFonts w:ascii="Arial" w:hAnsi="Arial" w:cs="Arial"/>
        </w:rPr>
        <w:t xml:space="preserve">on the border with Azerbaijan and </w:t>
      </w:r>
      <w:r w:rsidR="00E2320E" w:rsidRPr="003D47A1">
        <w:rPr>
          <w:rFonts w:ascii="Arial" w:hAnsi="Arial" w:cs="Arial"/>
        </w:rPr>
        <w:t>the September-</w:t>
      </w:r>
      <w:r w:rsidR="00A361CD" w:rsidRPr="003D47A1">
        <w:rPr>
          <w:rFonts w:ascii="Arial" w:hAnsi="Arial" w:cs="Arial"/>
        </w:rPr>
        <w:t>November</w:t>
      </w:r>
      <w:r w:rsidR="00E2320E" w:rsidRPr="003D47A1">
        <w:rPr>
          <w:rFonts w:ascii="Arial" w:hAnsi="Arial" w:cs="Arial"/>
        </w:rPr>
        <w:t xml:space="preserve"> 2020 war </w:t>
      </w:r>
      <w:r w:rsidR="00A361CD" w:rsidRPr="003D47A1">
        <w:rPr>
          <w:rFonts w:ascii="Arial" w:hAnsi="Arial" w:cs="Arial"/>
        </w:rPr>
        <w:t>in Nagorno-Karabakh have</w:t>
      </w:r>
      <w:r w:rsidR="00E2320E" w:rsidRPr="003D47A1">
        <w:rPr>
          <w:rFonts w:ascii="Arial" w:hAnsi="Arial" w:cs="Arial"/>
        </w:rPr>
        <w:t xml:space="preserve"> completely changed the political and security landscape, fracturing the political consensus and shifting priorities. </w:t>
      </w:r>
      <w:r w:rsidR="00A361CD" w:rsidRPr="003D47A1">
        <w:rPr>
          <w:rFonts w:ascii="Arial" w:hAnsi="Arial" w:cs="Arial"/>
        </w:rPr>
        <w:t>Snap parliamentary elections in June 2021</w:t>
      </w:r>
      <w:r w:rsidR="00C0424A" w:rsidRPr="003D47A1">
        <w:rPr>
          <w:rFonts w:ascii="Arial" w:hAnsi="Arial" w:cs="Arial"/>
        </w:rPr>
        <w:t xml:space="preserve"> that</w:t>
      </w:r>
      <w:r w:rsidR="00A361CD" w:rsidRPr="003D47A1">
        <w:rPr>
          <w:rFonts w:ascii="Arial" w:hAnsi="Arial" w:cs="Arial"/>
        </w:rPr>
        <w:t xml:space="preserve"> were largely held in accordance with international standards </w:t>
      </w:r>
      <w:r w:rsidR="00807399" w:rsidRPr="003D47A1">
        <w:rPr>
          <w:rFonts w:ascii="Arial" w:hAnsi="Arial" w:cs="Arial"/>
        </w:rPr>
        <w:t xml:space="preserve">maintained </w:t>
      </w:r>
      <w:r w:rsidR="00C0424A" w:rsidRPr="003D47A1">
        <w:rPr>
          <w:rFonts w:ascii="Arial" w:hAnsi="Arial" w:cs="Arial"/>
        </w:rPr>
        <w:t>Pashinyan’s Civic Contract</w:t>
      </w:r>
      <w:r w:rsidR="00807399" w:rsidRPr="003D47A1">
        <w:rPr>
          <w:rFonts w:ascii="Arial" w:hAnsi="Arial" w:cs="Arial"/>
        </w:rPr>
        <w:t xml:space="preserve"> in power</w:t>
      </w:r>
      <w:r w:rsidR="00C0424A" w:rsidRPr="003D47A1">
        <w:rPr>
          <w:rFonts w:ascii="Arial" w:hAnsi="Arial" w:cs="Arial"/>
        </w:rPr>
        <w:t>, but also returned to the parliament representatives of the former regimes specifically renowned for autocracy and kleptocratic governance.</w:t>
      </w:r>
      <w:r w:rsidR="00807399" w:rsidRPr="003D47A1">
        <w:rPr>
          <w:rStyle w:val="FootnoteReference"/>
          <w:rFonts w:ascii="Arial" w:hAnsi="Arial" w:cs="Arial"/>
        </w:rPr>
        <w:footnoteReference w:id="3"/>
      </w:r>
      <w:r w:rsidR="00C0424A" w:rsidRPr="003D47A1">
        <w:rPr>
          <w:rFonts w:ascii="Arial" w:hAnsi="Arial" w:cs="Arial"/>
        </w:rPr>
        <w:t xml:space="preserve"> </w:t>
      </w:r>
      <w:r w:rsidR="00807399" w:rsidRPr="003D47A1">
        <w:rPr>
          <w:rFonts w:ascii="Arial" w:hAnsi="Arial" w:cs="Arial"/>
        </w:rPr>
        <w:t xml:space="preserve">Armenia’s </w:t>
      </w:r>
      <w:r w:rsidR="00E2320E" w:rsidRPr="003D47A1">
        <w:rPr>
          <w:rFonts w:ascii="Arial" w:hAnsi="Arial" w:cs="Arial"/>
        </w:rPr>
        <w:t xml:space="preserve">government and society are still grappling with the aftermath of the war, which resulted </w:t>
      </w:r>
      <w:r w:rsidR="00C3010A" w:rsidRPr="003D47A1">
        <w:rPr>
          <w:rFonts w:ascii="Arial" w:hAnsi="Arial" w:cs="Arial"/>
        </w:rPr>
        <w:t xml:space="preserve">in over 4,000 battlefield deaths, </w:t>
      </w:r>
      <w:r w:rsidR="00C0424A" w:rsidRPr="003D47A1">
        <w:rPr>
          <w:rFonts w:ascii="Arial" w:hAnsi="Arial" w:cs="Arial"/>
        </w:rPr>
        <w:t xml:space="preserve">several thousands wounded, </w:t>
      </w:r>
      <w:r w:rsidR="00807399" w:rsidRPr="003D47A1">
        <w:rPr>
          <w:rFonts w:ascii="Arial" w:hAnsi="Arial" w:cs="Arial"/>
        </w:rPr>
        <w:t xml:space="preserve">major losses of territory and </w:t>
      </w:r>
      <w:r w:rsidR="00E2320E" w:rsidRPr="003D47A1">
        <w:rPr>
          <w:rFonts w:ascii="Arial" w:hAnsi="Arial" w:cs="Arial"/>
        </w:rPr>
        <w:t>a humanitarian emergency.</w:t>
      </w:r>
      <w:r w:rsidR="00807399" w:rsidRPr="003D47A1">
        <w:rPr>
          <w:rStyle w:val="FootnoteReference"/>
          <w:rFonts w:ascii="Arial" w:hAnsi="Arial" w:cs="Arial"/>
        </w:rPr>
        <w:footnoteReference w:id="4"/>
      </w:r>
      <w:r w:rsidR="00E2320E" w:rsidRPr="003D47A1">
        <w:rPr>
          <w:rFonts w:ascii="Arial" w:hAnsi="Arial" w:cs="Arial"/>
        </w:rPr>
        <w:t xml:space="preserve"> The result of the war</w:t>
      </w:r>
      <w:r w:rsidR="00807399" w:rsidRPr="003D47A1">
        <w:rPr>
          <w:rFonts w:ascii="Arial" w:hAnsi="Arial" w:cs="Arial"/>
        </w:rPr>
        <w:t xml:space="preserve"> </w:t>
      </w:r>
      <w:r w:rsidR="00E2320E" w:rsidRPr="003D47A1">
        <w:rPr>
          <w:rFonts w:ascii="Arial" w:hAnsi="Arial" w:cs="Arial"/>
        </w:rPr>
        <w:t xml:space="preserve">prompted questions about the apparent disparity in military equipment between Armenia and Azerbaijan, </w:t>
      </w:r>
      <w:r w:rsidR="00C0424A" w:rsidRPr="003D47A1">
        <w:rPr>
          <w:rFonts w:ascii="Arial" w:hAnsi="Arial" w:cs="Arial"/>
        </w:rPr>
        <w:t xml:space="preserve">the training and </w:t>
      </w:r>
      <w:r w:rsidR="00A361CD" w:rsidRPr="003D47A1">
        <w:rPr>
          <w:rFonts w:ascii="Arial" w:hAnsi="Arial" w:cs="Arial"/>
        </w:rPr>
        <w:t>shape of the two countries’ forces</w:t>
      </w:r>
      <w:r w:rsidR="00C0424A" w:rsidRPr="003D47A1">
        <w:rPr>
          <w:rFonts w:ascii="Arial" w:hAnsi="Arial" w:cs="Arial"/>
        </w:rPr>
        <w:t xml:space="preserve"> and the international support that contributed to the </w:t>
      </w:r>
      <w:r w:rsidR="00807399" w:rsidRPr="003D47A1">
        <w:rPr>
          <w:rFonts w:ascii="Arial" w:hAnsi="Arial" w:cs="Arial"/>
        </w:rPr>
        <w:t>outcome</w:t>
      </w:r>
      <w:r w:rsidR="00C0424A" w:rsidRPr="003D47A1">
        <w:rPr>
          <w:rFonts w:ascii="Arial" w:hAnsi="Arial" w:cs="Arial"/>
        </w:rPr>
        <w:t>.</w:t>
      </w:r>
      <w:r w:rsidR="00A361CD" w:rsidRPr="003D47A1">
        <w:rPr>
          <w:rStyle w:val="FootnoteReference"/>
          <w:rFonts w:ascii="Arial" w:hAnsi="Arial" w:cs="Arial"/>
        </w:rPr>
        <w:footnoteReference w:id="5"/>
      </w:r>
      <w:r w:rsidR="00A361CD" w:rsidRPr="003D47A1">
        <w:rPr>
          <w:rFonts w:ascii="Arial" w:hAnsi="Arial" w:cs="Arial"/>
        </w:rPr>
        <w:t xml:space="preserve"> </w:t>
      </w:r>
      <w:r w:rsidR="00807399" w:rsidRPr="003D47A1">
        <w:rPr>
          <w:rFonts w:ascii="Arial" w:hAnsi="Arial" w:cs="Arial"/>
        </w:rPr>
        <w:t>Thus, the conflict has increased attention on the structure and governance of the defence sector</w:t>
      </w:r>
      <w:r w:rsidR="001E1B33" w:rsidRPr="003D47A1">
        <w:rPr>
          <w:rFonts w:ascii="Arial" w:hAnsi="Arial" w:cs="Arial"/>
        </w:rPr>
        <w:t>.</w:t>
      </w:r>
      <w:r w:rsidR="00807399" w:rsidRPr="003D47A1">
        <w:rPr>
          <w:rFonts w:ascii="Arial" w:hAnsi="Arial" w:cs="Arial"/>
        </w:rPr>
        <w:t xml:space="preserve"> </w:t>
      </w:r>
      <w:r w:rsidR="00A37404" w:rsidRPr="003D47A1">
        <w:rPr>
          <w:rFonts w:ascii="Arial" w:hAnsi="Arial" w:cs="Arial"/>
        </w:rPr>
        <w:t>As things stand, Armenia’s defence sector remains shrouded in secrecy, with limited external oversight of policy-making, financial management and acquisitions, despite some progress in recent years. Anti-corruption standards for personnel management, including training and codes of conduct</w:t>
      </w:r>
      <w:r w:rsidR="001E1B33" w:rsidRPr="003D47A1">
        <w:rPr>
          <w:rFonts w:ascii="Arial" w:hAnsi="Arial" w:cs="Arial"/>
        </w:rPr>
        <w:t>, are minimal</w:t>
      </w:r>
      <w:r w:rsidR="00A37404" w:rsidRPr="003D47A1">
        <w:rPr>
          <w:rFonts w:ascii="Arial" w:hAnsi="Arial" w:cs="Arial"/>
        </w:rPr>
        <w:t>, while safeguards to corruption on operations are extremely weak.</w:t>
      </w:r>
    </w:p>
    <w:p w:rsidR="003D47A1" w:rsidRPr="003D47A1" w:rsidRDefault="003D47A1" w:rsidP="003D47A1">
      <w:pPr>
        <w:spacing w:before="240" w:line="276" w:lineRule="auto"/>
        <w:rPr>
          <w:rFonts w:ascii="Arial" w:hAnsi="Arial" w:cs="Arial"/>
        </w:rPr>
      </w:pPr>
    </w:p>
    <w:p w:rsidR="003D47A1" w:rsidRDefault="003D47A1">
      <w:pPr>
        <w:rPr>
          <w:rFonts w:ascii="Arial" w:eastAsiaTheme="majorEastAsia" w:hAnsi="Arial" w:cs="Arial"/>
          <w:color w:val="2E74B5" w:themeColor="accent1" w:themeShade="BF"/>
          <w:sz w:val="26"/>
          <w:szCs w:val="26"/>
        </w:rPr>
      </w:pPr>
      <w:bookmarkStart w:id="1" w:name="_Toc48307256"/>
      <w:r>
        <w:rPr>
          <w:rFonts w:ascii="Arial" w:hAnsi="Arial" w:cs="Arial"/>
        </w:rPr>
        <w:br w:type="page"/>
      </w:r>
    </w:p>
    <w:p w:rsidR="00807399" w:rsidRDefault="00807399" w:rsidP="003D47A1">
      <w:pPr>
        <w:pStyle w:val="Heading2"/>
        <w:spacing w:line="276" w:lineRule="auto"/>
        <w:rPr>
          <w:rFonts w:ascii="Arial" w:hAnsi="Arial" w:cs="Arial"/>
        </w:rPr>
      </w:pPr>
      <w:r w:rsidRPr="003D47A1">
        <w:rPr>
          <w:rFonts w:ascii="Arial" w:hAnsi="Arial" w:cs="Arial"/>
        </w:rPr>
        <w:t>Parliamentary Oversight</w:t>
      </w:r>
      <w:r w:rsidR="00535C6E" w:rsidRPr="003D47A1">
        <w:rPr>
          <w:rFonts w:ascii="Arial" w:hAnsi="Arial" w:cs="Arial"/>
        </w:rPr>
        <w:t xml:space="preserve"> </w:t>
      </w:r>
    </w:p>
    <w:p w:rsidR="003D47A1" w:rsidRPr="003D47A1" w:rsidRDefault="003D47A1" w:rsidP="003D47A1"/>
    <w:tbl>
      <w:tblPr>
        <w:tblStyle w:val="ListTable1Light-Accent5"/>
        <w:tblW w:w="0" w:type="auto"/>
        <w:tblLook w:val="04A0" w:firstRow="1" w:lastRow="0" w:firstColumn="1" w:lastColumn="0" w:noHBand="0" w:noVBand="1"/>
      </w:tblPr>
      <w:tblGrid>
        <w:gridCol w:w="5760"/>
        <w:gridCol w:w="3222"/>
      </w:tblGrid>
      <w:tr w:rsidR="00807399" w:rsidRPr="003D47A1" w:rsidTr="003D4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807399" w:rsidRPr="003D47A1" w:rsidRDefault="00807399" w:rsidP="003D47A1">
            <w:pPr>
              <w:spacing w:line="276" w:lineRule="auto"/>
              <w:rPr>
                <w:rFonts w:ascii="Arial" w:hAnsi="Arial" w:cs="Arial"/>
                <w:b w:val="0"/>
              </w:rPr>
            </w:pPr>
            <w:r w:rsidRPr="003D47A1">
              <w:rPr>
                <w:rFonts w:ascii="Arial" w:hAnsi="Arial" w:cs="Arial"/>
                <w:b w:val="0"/>
              </w:rPr>
              <w:t>Legislative oversight of budget (Open Budget Survey, IBP, 2019)</w:t>
            </w:r>
          </w:p>
        </w:tc>
        <w:tc>
          <w:tcPr>
            <w:tcW w:w="3222" w:type="dxa"/>
          </w:tcPr>
          <w:p w:rsidR="00807399" w:rsidRPr="003D47A1" w:rsidRDefault="00807399" w:rsidP="003D47A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D47A1">
              <w:rPr>
                <w:rFonts w:ascii="Arial" w:hAnsi="Arial" w:cs="Arial"/>
                <w:b w:val="0"/>
              </w:rPr>
              <w:t>Not rated</w:t>
            </w:r>
          </w:p>
        </w:tc>
      </w:tr>
      <w:tr w:rsidR="00807399"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807399" w:rsidRPr="003D47A1" w:rsidRDefault="00807399" w:rsidP="003D47A1">
            <w:pPr>
              <w:spacing w:line="276" w:lineRule="auto"/>
              <w:rPr>
                <w:rFonts w:ascii="Arial" w:hAnsi="Arial" w:cs="Arial"/>
              </w:rPr>
            </w:pPr>
            <w:r w:rsidRPr="003D47A1">
              <w:rPr>
                <w:rFonts w:ascii="Arial" w:hAnsi="Arial" w:cs="Arial"/>
                <w:b w:val="0"/>
              </w:rPr>
              <w:t>Military expenditure as share of government spending (SIPRI, 2020)</w:t>
            </w:r>
          </w:p>
        </w:tc>
        <w:tc>
          <w:tcPr>
            <w:tcW w:w="3222" w:type="dxa"/>
          </w:tcPr>
          <w:p w:rsidR="00807399" w:rsidRPr="003D47A1" w:rsidRDefault="00807399"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16.7%</w:t>
            </w:r>
          </w:p>
        </w:tc>
      </w:tr>
      <w:tr w:rsidR="00807399" w:rsidRPr="003D47A1" w:rsidTr="003D47A1">
        <w:tc>
          <w:tcPr>
            <w:cnfStyle w:val="001000000000" w:firstRow="0" w:lastRow="0" w:firstColumn="1" w:lastColumn="0" w:oddVBand="0" w:evenVBand="0" w:oddHBand="0" w:evenHBand="0" w:firstRowFirstColumn="0" w:firstRowLastColumn="0" w:lastRowFirstColumn="0" w:lastRowLastColumn="0"/>
            <w:tcW w:w="5760" w:type="dxa"/>
          </w:tcPr>
          <w:p w:rsidR="00807399" w:rsidRPr="003D47A1" w:rsidRDefault="00807399" w:rsidP="003D47A1">
            <w:pPr>
              <w:spacing w:line="276" w:lineRule="auto"/>
              <w:rPr>
                <w:rFonts w:ascii="Arial" w:hAnsi="Arial" w:cs="Arial"/>
                <w:b w:val="0"/>
              </w:rPr>
            </w:pPr>
            <w:r w:rsidRPr="003D47A1">
              <w:rPr>
                <w:rFonts w:ascii="Arial" w:hAnsi="Arial" w:cs="Arial"/>
                <w:b w:val="0"/>
              </w:rPr>
              <w:t>Committee members with defence expertise %</w:t>
            </w:r>
          </w:p>
        </w:tc>
        <w:tc>
          <w:tcPr>
            <w:tcW w:w="3222" w:type="dxa"/>
          </w:tcPr>
          <w:p w:rsidR="00807399" w:rsidRPr="003D47A1" w:rsidRDefault="00807399"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18% (2 of 11)</w:t>
            </w:r>
            <w:r w:rsidRPr="003D47A1">
              <w:rPr>
                <w:rStyle w:val="FootnoteReference"/>
                <w:rFonts w:ascii="Arial" w:hAnsi="Arial" w:cs="Arial"/>
              </w:rPr>
              <w:t xml:space="preserve"> </w:t>
            </w:r>
            <w:r w:rsidRPr="003D47A1">
              <w:rPr>
                <w:rStyle w:val="FootnoteReference"/>
                <w:rFonts w:ascii="Arial" w:hAnsi="Arial" w:cs="Arial"/>
              </w:rPr>
              <w:footnoteReference w:id="6"/>
            </w:r>
          </w:p>
        </w:tc>
      </w:tr>
      <w:tr w:rsidR="00807399"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807399" w:rsidRPr="003D47A1" w:rsidRDefault="00807399" w:rsidP="003D47A1">
            <w:pPr>
              <w:spacing w:line="276" w:lineRule="auto"/>
              <w:rPr>
                <w:rFonts w:ascii="Arial" w:hAnsi="Arial" w:cs="Arial"/>
                <w:b w:val="0"/>
              </w:rPr>
            </w:pPr>
            <w:r w:rsidRPr="003D47A1">
              <w:rPr>
                <w:rFonts w:ascii="Arial" w:hAnsi="Arial" w:cs="Arial"/>
                <w:b w:val="0"/>
              </w:rPr>
              <w:t># of meetings/year</w:t>
            </w:r>
          </w:p>
        </w:tc>
        <w:tc>
          <w:tcPr>
            <w:tcW w:w="3222" w:type="dxa"/>
          </w:tcPr>
          <w:p w:rsidR="00807399" w:rsidRPr="003D47A1" w:rsidRDefault="00807399"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Data is not publicly available.</w:t>
            </w:r>
          </w:p>
        </w:tc>
      </w:tr>
      <w:tr w:rsidR="00807399" w:rsidRPr="003D47A1" w:rsidTr="003D47A1">
        <w:trPr>
          <w:trHeight w:val="80"/>
        </w:trPr>
        <w:tc>
          <w:tcPr>
            <w:cnfStyle w:val="001000000000" w:firstRow="0" w:lastRow="0" w:firstColumn="1" w:lastColumn="0" w:oddVBand="0" w:evenVBand="0" w:oddHBand="0" w:evenHBand="0" w:firstRowFirstColumn="0" w:firstRowLastColumn="0" w:lastRowFirstColumn="0" w:lastRowLastColumn="0"/>
            <w:tcW w:w="5760" w:type="dxa"/>
          </w:tcPr>
          <w:p w:rsidR="00807399" w:rsidRPr="003D47A1" w:rsidRDefault="00807399" w:rsidP="003D47A1">
            <w:pPr>
              <w:spacing w:line="276" w:lineRule="auto"/>
              <w:rPr>
                <w:rFonts w:ascii="Arial" w:hAnsi="Arial" w:cs="Arial"/>
                <w:b w:val="0"/>
              </w:rPr>
            </w:pPr>
            <w:r w:rsidRPr="003D47A1">
              <w:rPr>
                <w:rFonts w:ascii="Arial" w:hAnsi="Arial" w:cs="Arial"/>
                <w:b w:val="0"/>
              </w:rPr>
              <w:t>Last review of defence policy/strategy</w:t>
            </w:r>
          </w:p>
        </w:tc>
        <w:tc>
          <w:tcPr>
            <w:tcW w:w="3222" w:type="dxa"/>
          </w:tcPr>
          <w:p w:rsidR="00807399" w:rsidRPr="003D47A1" w:rsidRDefault="00807399"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3D47A1">
              <w:rPr>
                <w:rFonts w:ascii="Arial" w:hAnsi="Arial" w:cs="Arial"/>
              </w:rPr>
              <w:t>2020</w:t>
            </w:r>
            <w:r w:rsidRPr="003D47A1">
              <w:rPr>
                <w:rStyle w:val="FootnoteReference"/>
                <w:rFonts w:ascii="Arial" w:hAnsi="Arial" w:cs="Arial"/>
              </w:rPr>
              <w:footnoteReference w:id="7"/>
            </w:r>
          </w:p>
        </w:tc>
      </w:tr>
    </w:tbl>
    <w:bookmarkEnd w:id="1"/>
    <w:p w:rsidR="004C6367" w:rsidRDefault="00FF5794" w:rsidP="003D47A1">
      <w:pPr>
        <w:spacing w:before="240" w:line="276" w:lineRule="auto"/>
        <w:rPr>
          <w:rFonts w:ascii="Arial" w:hAnsi="Arial" w:cs="Arial"/>
        </w:rPr>
      </w:pPr>
      <w:r w:rsidRPr="003D47A1">
        <w:rPr>
          <w:rFonts w:ascii="Arial" w:hAnsi="Arial" w:cs="Arial"/>
        </w:rPr>
        <w:t xml:space="preserve">Under Armenia’s presidential </w:t>
      </w:r>
      <w:r w:rsidR="004C6367" w:rsidRPr="003D47A1">
        <w:rPr>
          <w:rFonts w:ascii="Arial" w:hAnsi="Arial" w:cs="Arial"/>
        </w:rPr>
        <w:t xml:space="preserve">system of government </w:t>
      </w:r>
      <w:r w:rsidR="00E75DB7" w:rsidRPr="003D47A1">
        <w:rPr>
          <w:rFonts w:ascii="Arial" w:hAnsi="Arial" w:cs="Arial"/>
        </w:rPr>
        <w:t>unti</w:t>
      </w:r>
      <w:r w:rsidRPr="003D47A1">
        <w:rPr>
          <w:rFonts w:ascii="Arial" w:hAnsi="Arial" w:cs="Arial"/>
        </w:rPr>
        <w:t>l mid-</w:t>
      </w:r>
      <w:r w:rsidR="004C6367" w:rsidRPr="003D47A1">
        <w:rPr>
          <w:rFonts w:ascii="Arial" w:hAnsi="Arial" w:cs="Arial"/>
        </w:rPr>
        <w:t>2018, parliamentary oversight of the executive</w:t>
      </w:r>
      <w:r w:rsidR="001E1B33" w:rsidRPr="003D47A1">
        <w:rPr>
          <w:rFonts w:ascii="Arial" w:hAnsi="Arial" w:cs="Arial"/>
        </w:rPr>
        <w:t>,</w:t>
      </w:r>
      <w:r w:rsidR="004C6367" w:rsidRPr="003D47A1">
        <w:rPr>
          <w:rFonts w:ascii="Arial" w:hAnsi="Arial" w:cs="Arial"/>
        </w:rPr>
        <w:t xml:space="preserve"> and </w:t>
      </w:r>
      <w:r w:rsidRPr="003D47A1">
        <w:rPr>
          <w:rFonts w:ascii="Arial" w:hAnsi="Arial" w:cs="Arial"/>
        </w:rPr>
        <w:t xml:space="preserve">especially of </w:t>
      </w:r>
      <w:r w:rsidR="004C6367" w:rsidRPr="003D47A1">
        <w:rPr>
          <w:rFonts w:ascii="Arial" w:hAnsi="Arial" w:cs="Arial"/>
        </w:rPr>
        <w:t>defence</w:t>
      </w:r>
      <w:r w:rsidR="001E1B33" w:rsidRPr="003D47A1">
        <w:rPr>
          <w:rFonts w:ascii="Arial" w:hAnsi="Arial" w:cs="Arial"/>
        </w:rPr>
        <w:t xml:space="preserve">, </w:t>
      </w:r>
      <w:r w:rsidR="004C6367" w:rsidRPr="003D47A1">
        <w:rPr>
          <w:rFonts w:ascii="Arial" w:hAnsi="Arial" w:cs="Arial"/>
        </w:rPr>
        <w:t xml:space="preserve">was </w:t>
      </w:r>
      <w:r w:rsidRPr="003D47A1">
        <w:rPr>
          <w:rFonts w:ascii="Arial" w:hAnsi="Arial" w:cs="Arial"/>
        </w:rPr>
        <w:t xml:space="preserve">hobbled by </w:t>
      </w:r>
      <w:r w:rsidR="001E1B33" w:rsidRPr="003D47A1">
        <w:rPr>
          <w:rFonts w:ascii="Arial" w:hAnsi="Arial" w:cs="Arial"/>
        </w:rPr>
        <w:t>a</w:t>
      </w:r>
      <w:r w:rsidRPr="003D47A1">
        <w:rPr>
          <w:rFonts w:ascii="Arial" w:hAnsi="Arial" w:cs="Arial"/>
        </w:rPr>
        <w:t xml:space="preserve"> </w:t>
      </w:r>
      <w:r w:rsidR="004C6367" w:rsidRPr="003D47A1">
        <w:rPr>
          <w:rFonts w:ascii="Arial" w:hAnsi="Arial" w:cs="Arial"/>
        </w:rPr>
        <w:t>government operat</w:t>
      </w:r>
      <w:r w:rsidRPr="003D47A1">
        <w:rPr>
          <w:rFonts w:ascii="Arial" w:hAnsi="Arial" w:cs="Arial"/>
        </w:rPr>
        <w:t>ing</w:t>
      </w:r>
      <w:r w:rsidR="004C6367" w:rsidRPr="003D47A1">
        <w:rPr>
          <w:rFonts w:ascii="Arial" w:hAnsi="Arial" w:cs="Arial"/>
        </w:rPr>
        <w:t xml:space="preserve"> in a </w:t>
      </w:r>
      <w:r w:rsidR="001E1B33" w:rsidRPr="003D47A1">
        <w:rPr>
          <w:rFonts w:ascii="Arial" w:hAnsi="Arial" w:cs="Arial"/>
        </w:rPr>
        <w:t>guarded</w:t>
      </w:r>
      <w:r w:rsidR="004C6367" w:rsidRPr="003D47A1">
        <w:rPr>
          <w:rFonts w:ascii="Arial" w:hAnsi="Arial" w:cs="Arial"/>
        </w:rPr>
        <w:t xml:space="preserve"> manner, often refusing to respond to parliamentarians’ questions for reasons of “secrecy”</w:t>
      </w:r>
      <w:r w:rsidR="004C6367" w:rsidRPr="003D47A1">
        <w:rPr>
          <w:rStyle w:val="FootnoteReference"/>
          <w:rFonts w:ascii="Arial" w:hAnsi="Arial" w:cs="Arial"/>
        </w:rPr>
        <w:footnoteReference w:id="8"/>
      </w:r>
      <w:r w:rsidR="004C6367" w:rsidRPr="003D47A1">
        <w:rPr>
          <w:rFonts w:ascii="Arial" w:hAnsi="Arial" w:cs="Arial"/>
        </w:rPr>
        <w:t xml:space="preserve"> and actively </w:t>
      </w:r>
      <w:r w:rsidR="79DCEE31" w:rsidRPr="003D47A1">
        <w:rPr>
          <w:rFonts w:ascii="Arial" w:hAnsi="Arial" w:cs="Arial"/>
        </w:rPr>
        <w:t>side-lining</w:t>
      </w:r>
      <w:r w:rsidR="004C6367" w:rsidRPr="003D47A1">
        <w:rPr>
          <w:rFonts w:ascii="Arial" w:hAnsi="Arial" w:cs="Arial"/>
        </w:rPr>
        <w:t xml:space="preserve"> opposition voices.</w:t>
      </w:r>
      <w:r w:rsidR="004C6367" w:rsidRPr="003D47A1">
        <w:rPr>
          <w:rStyle w:val="FootnoteReference"/>
          <w:rFonts w:ascii="Arial" w:hAnsi="Arial" w:cs="Arial"/>
        </w:rPr>
        <w:footnoteReference w:id="9"/>
      </w:r>
      <w:r w:rsidR="004C6367" w:rsidRPr="003D47A1">
        <w:rPr>
          <w:rFonts w:ascii="Arial" w:hAnsi="Arial" w:cs="Arial"/>
        </w:rPr>
        <w:t xml:space="preserve"> Key documents, such as the national security strategy and military doctrine, were approved by presidential decree</w:t>
      </w:r>
      <w:r w:rsidRPr="003D47A1">
        <w:rPr>
          <w:rFonts w:ascii="Arial" w:hAnsi="Arial" w:cs="Arial"/>
        </w:rPr>
        <w:t xml:space="preserve"> without parliamentary input. </w:t>
      </w:r>
      <w:r w:rsidR="004C6367" w:rsidRPr="003D47A1">
        <w:rPr>
          <w:rFonts w:ascii="Arial" w:hAnsi="Arial" w:cs="Arial"/>
        </w:rPr>
        <w:t>Other key texts were discussed by the Security Council, made up solely of members of the executive, and bypassed parliament entirely.</w:t>
      </w:r>
      <w:r w:rsidR="00E75DB7" w:rsidRPr="003D47A1">
        <w:rPr>
          <w:rStyle w:val="FootnoteReference"/>
          <w:rFonts w:ascii="Arial" w:hAnsi="Arial" w:cs="Arial"/>
        </w:rPr>
        <w:footnoteReference w:id="10"/>
      </w:r>
      <w:r w:rsidR="004C6367" w:rsidRPr="003D47A1">
        <w:rPr>
          <w:rFonts w:ascii="Arial" w:hAnsi="Arial" w:cs="Arial"/>
        </w:rPr>
        <w:t xml:space="preserve"> The executive and </w:t>
      </w:r>
      <w:r w:rsidR="00E75DB7" w:rsidRPr="003D47A1">
        <w:rPr>
          <w:rFonts w:ascii="Arial" w:hAnsi="Arial" w:cs="Arial"/>
        </w:rPr>
        <w:t xml:space="preserve">their </w:t>
      </w:r>
      <w:r w:rsidR="4690D215" w:rsidRPr="003D47A1">
        <w:rPr>
          <w:rFonts w:ascii="Arial" w:hAnsi="Arial" w:cs="Arial"/>
        </w:rPr>
        <w:t xml:space="preserve">business allies </w:t>
      </w:r>
      <w:r w:rsidR="004C6367" w:rsidRPr="003D47A1">
        <w:rPr>
          <w:rFonts w:ascii="Arial" w:hAnsi="Arial" w:cs="Arial"/>
        </w:rPr>
        <w:t xml:space="preserve">had direct influence over the legislature, restricting </w:t>
      </w:r>
      <w:r w:rsidRPr="003D47A1">
        <w:rPr>
          <w:rFonts w:ascii="Arial" w:hAnsi="Arial" w:cs="Arial"/>
        </w:rPr>
        <w:t>its</w:t>
      </w:r>
      <w:r w:rsidR="4945396B" w:rsidRPr="003D47A1">
        <w:rPr>
          <w:rFonts w:ascii="Arial" w:hAnsi="Arial" w:cs="Arial"/>
        </w:rPr>
        <w:t xml:space="preserve"> </w:t>
      </w:r>
      <w:r w:rsidR="004C6367" w:rsidRPr="003D47A1">
        <w:rPr>
          <w:rFonts w:ascii="Arial" w:hAnsi="Arial" w:cs="Arial"/>
        </w:rPr>
        <w:t>capacity and ability to perform oversight activities</w:t>
      </w:r>
      <w:r w:rsidR="4DD55521" w:rsidRPr="003D47A1">
        <w:rPr>
          <w:rFonts w:ascii="Arial" w:hAnsi="Arial" w:cs="Arial"/>
        </w:rPr>
        <w:t xml:space="preserve"> </w:t>
      </w:r>
      <w:r w:rsidRPr="003D47A1">
        <w:rPr>
          <w:rFonts w:ascii="Arial" w:hAnsi="Arial" w:cs="Arial"/>
        </w:rPr>
        <w:t xml:space="preserve">and effectively </w:t>
      </w:r>
      <w:r w:rsidR="004C6367" w:rsidRPr="003D47A1">
        <w:rPr>
          <w:rFonts w:ascii="Arial" w:hAnsi="Arial" w:cs="Arial"/>
        </w:rPr>
        <w:t xml:space="preserve">reducing it </w:t>
      </w:r>
      <w:r w:rsidR="5ED9C9EB" w:rsidRPr="003D47A1">
        <w:rPr>
          <w:rFonts w:ascii="Arial" w:hAnsi="Arial" w:cs="Arial"/>
        </w:rPr>
        <w:t xml:space="preserve">to </w:t>
      </w:r>
      <w:r w:rsidR="004C6367" w:rsidRPr="003D47A1">
        <w:rPr>
          <w:rFonts w:ascii="Arial" w:hAnsi="Arial" w:cs="Arial"/>
        </w:rPr>
        <w:t>a forum for approving draft laws.</w:t>
      </w:r>
      <w:r w:rsidR="00BA0FC2" w:rsidRPr="003D47A1">
        <w:rPr>
          <w:rFonts w:ascii="Arial" w:hAnsi="Arial" w:cs="Arial"/>
        </w:rPr>
        <w:t xml:space="preserve"> Additionally, there was very limited </w:t>
      </w:r>
      <w:r w:rsidRPr="003D47A1">
        <w:rPr>
          <w:rFonts w:ascii="Arial" w:hAnsi="Arial" w:cs="Arial"/>
        </w:rPr>
        <w:t>expertise</w:t>
      </w:r>
      <w:r w:rsidR="00BA0FC2" w:rsidRPr="003D47A1">
        <w:rPr>
          <w:rFonts w:ascii="Arial" w:hAnsi="Arial" w:cs="Arial"/>
        </w:rPr>
        <w:t xml:space="preserve"> within the parliament to ensure quality oversight</w:t>
      </w:r>
      <w:r w:rsidR="00E75DB7" w:rsidRPr="003D47A1">
        <w:rPr>
          <w:rFonts w:ascii="Arial" w:hAnsi="Arial" w:cs="Arial"/>
        </w:rPr>
        <w:t xml:space="preserve"> – in 2019</w:t>
      </w:r>
      <w:r w:rsidRPr="003D47A1">
        <w:rPr>
          <w:rFonts w:ascii="Arial" w:hAnsi="Arial" w:cs="Arial"/>
        </w:rPr>
        <w:t xml:space="preserve"> only two out of eleven members of the Defence Committee had subject matter </w:t>
      </w:r>
      <w:r w:rsidR="00BA0FC2" w:rsidRPr="003D47A1">
        <w:rPr>
          <w:rFonts w:ascii="Arial" w:hAnsi="Arial" w:cs="Arial"/>
        </w:rPr>
        <w:t>proficiency</w:t>
      </w:r>
      <w:r w:rsidRPr="003D47A1">
        <w:rPr>
          <w:rFonts w:ascii="Arial" w:hAnsi="Arial" w:cs="Arial"/>
        </w:rPr>
        <w:t>.</w:t>
      </w:r>
      <w:r w:rsidR="00E75DB7" w:rsidRPr="003D47A1">
        <w:rPr>
          <w:rStyle w:val="FootnoteReference"/>
          <w:rFonts w:ascii="Arial" w:hAnsi="Arial" w:cs="Arial"/>
        </w:rPr>
        <w:footnoteReference w:id="11"/>
      </w:r>
      <w:r w:rsidRPr="003D47A1">
        <w:rPr>
          <w:rFonts w:ascii="Arial" w:hAnsi="Arial" w:cs="Arial"/>
        </w:rPr>
        <w:t xml:space="preserve"> </w:t>
      </w:r>
      <w:r w:rsidR="00E75DB7" w:rsidRPr="003D47A1">
        <w:rPr>
          <w:rFonts w:ascii="Arial" w:hAnsi="Arial" w:cs="Arial"/>
        </w:rPr>
        <w:t xml:space="preserve">Since then however, the rules of procedure of the National Assembly have been amended to tighten oversight over the executive and increase its accountability to parliament, for instance through the compulsory submission of reports on budget implementation. Already, there is evidence of </w:t>
      </w:r>
      <w:r w:rsidR="001E1B33" w:rsidRPr="003D47A1">
        <w:rPr>
          <w:rFonts w:ascii="Arial" w:hAnsi="Arial" w:cs="Arial"/>
        </w:rPr>
        <w:t>Parliament</w:t>
      </w:r>
      <w:r w:rsidR="00E75DB7" w:rsidRPr="003D47A1">
        <w:rPr>
          <w:rFonts w:ascii="Arial" w:hAnsi="Arial" w:cs="Arial"/>
        </w:rPr>
        <w:t xml:space="preserve"> taking on an increasingly active scrutiny role on defence matters.</w:t>
      </w:r>
      <w:r w:rsidR="00D51D7A" w:rsidRPr="003D47A1">
        <w:rPr>
          <w:rStyle w:val="FootnoteReference"/>
          <w:rFonts w:ascii="Arial" w:hAnsi="Arial" w:cs="Arial"/>
        </w:rPr>
        <w:footnoteReference w:id="12"/>
      </w:r>
      <w:r w:rsidR="00D51D7A" w:rsidRPr="003D47A1">
        <w:rPr>
          <w:rFonts w:ascii="Arial" w:hAnsi="Arial" w:cs="Arial"/>
        </w:rPr>
        <w:t xml:space="preserve"> </w:t>
      </w:r>
      <w:r w:rsidR="00E75DB7" w:rsidRPr="003D47A1">
        <w:rPr>
          <w:rFonts w:ascii="Arial" w:hAnsi="Arial" w:cs="Arial"/>
        </w:rPr>
        <w:t>Nevertheless, there remain considerable obstacles to oversight. Parliament cannot scrutinise major arms procurement</w:t>
      </w:r>
      <w:r w:rsidR="001E1B33" w:rsidRPr="003D47A1">
        <w:rPr>
          <w:rFonts w:ascii="Arial" w:hAnsi="Arial" w:cs="Arial"/>
        </w:rPr>
        <w:t>,</w:t>
      </w:r>
      <w:r w:rsidR="00E75DB7" w:rsidRPr="003D47A1">
        <w:rPr>
          <w:rStyle w:val="FootnoteReference"/>
          <w:rFonts w:ascii="Arial" w:hAnsi="Arial" w:cs="Arial"/>
        </w:rPr>
        <w:footnoteReference w:id="13"/>
      </w:r>
      <w:r w:rsidR="001E1B33" w:rsidRPr="003D47A1">
        <w:rPr>
          <w:rFonts w:ascii="Arial" w:hAnsi="Arial" w:cs="Arial"/>
        </w:rPr>
        <w:t xml:space="preserve"> although</w:t>
      </w:r>
      <w:r w:rsidR="00E75DB7" w:rsidRPr="003D47A1">
        <w:rPr>
          <w:rFonts w:ascii="Arial" w:hAnsi="Arial" w:cs="Arial"/>
        </w:rPr>
        <w:t xml:space="preserve"> the Defence Committee</w:t>
      </w:r>
      <w:r w:rsidR="00AE2CC8" w:rsidRPr="003D47A1">
        <w:rPr>
          <w:rFonts w:ascii="Arial" w:hAnsi="Arial" w:cs="Arial"/>
        </w:rPr>
        <w:t xml:space="preserve"> has the right to scrutinise classified expenditures and budgetary provisions during closed sessions</w:t>
      </w:r>
      <w:r w:rsidR="001E1B33" w:rsidRPr="003D47A1">
        <w:rPr>
          <w:rFonts w:ascii="Arial" w:hAnsi="Arial" w:cs="Arial"/>
        </w:rPr>
        <w:t xml:space="preserve">. Yet it </w:t>
      </w:r>
      <w:r w:rsidR="00E75DB7" w:rsidRPr="003D47A1">
        <w:rPr>
          <w:rFonts w:ascii="Arial" w:hAnsi="Arial" w:cs="Arial"/>
        </w:rPr>
        <w:t>frequently fails to exercise this right in practice.</w:t>
      </w:r>
      <w:r w:rsidR="008450F4" w:rsidRPr="003D47A1">
        <w:rPr>
          <w:rFonts w:ascii="Arial" w:hAnsi="Arial" w:cs="Arial"/>
        </w:rPr>
        <w:t xml:space="preserve"> Financial oversight is also exercised by the Audit Chamber, which is responsible for external auditing of defence spending.</w:t>
      </w:r>
      <w:r w:rsidR="008450F4" w:rsidRPr="003D47A1">
        <w:rPr>
          <w:rStyle w:val="FootnoteReference"/>
          <w:rFonts w:ascii="Arial" w:hAnsi="Arial" w:cs="Arial"/>
        </w:rPr>
        <w:footnoteReference w:id="14"/>
      </w:r>
      <w:r w:rsidR="008450F4" w:rsidRPr="003D47A1">
        <w:rPr>
          <w:rFonts w:ascii="Arial" w:hAnsi="Arial" w:cs="Arial"/>
        </w:rPr>
        <w:t xml:space="preserve"> While the Chamber is active in scrutinising defence spending,</w:t>
      </w:r>
      <w:r w:rsidR="008450F4" w:rsidRPr="003D47A1">
        <w:rPr>
          <w:rStyle w:val="FootnoteReference"/>
          <w:rFonts w:ascii="Arial" w:hAnsi="Arial" w:cs="Arial"/>
        </w:rPr>
        <w:footnoteReference w:id="15"/>
      </w:r>
      <w:r w:rsidR="008450F4" w:rsidRPr="003D47A1">
        <w:rPr>
          <w:rFonts w:ascii="Arial" w:hAnsi="Arial" w:cs="Arial"/>
        </w:rPr>
        <w:t xml:space="preserve"> it has limited powers to ensure that its recommendations are implemented. Poor communication between the </w:t>
      </w:r>
      <w:r w:rsidR="001E1B33" w:rsidRPr="003D47A1">
        <w:rPr>
          <w:rFonts w:ascii="Arial" w:hAnsi="Arial" w:cs="Arial"/>
        </w:rPr>
        <w:t>Ministry of Defence</w:t>
      </w:r>
      <w:r w:rsidR="008450F4" w:rsidRPr="003D47A1">
        <w:rPr>
          <w:rFonts w:ascii="Arial" w:hAnsi="Arial" w:cs="Arial"/>
        </w:rPr>
        <w:t xml:space="preserve"> and Chamber mean that recommendations are rarely followed-up</w:t>
      </w:r>
      <w:r w:rsidR="001E1B33" w:rsidRPr="003D47A1">
        <w:rPr>
          <w:rFonts w:ascii="Arial" w:hAnsi="Arial" w:cs="Arial"/>
        </w:rPr>
        <w:t>,</w:t>
      </w:r>
      <w:r w:rsidR="008450F4" w:rsidRPr="003D47A1">
        <w:rPr>
          <w:rFonts w:ascii="Arial" w:hAnsi="Arial" w:cs="Arial"/>
        </w:rPr>
        <w:t xml:space="preserve"> and there is no formal mechanisms to monitor their implementation.</w:t>
      </w:r>
    </w:p>
    <w:p w:rsidR="003D47A1" w:rsidRPr="003D47A1" w:rsidRDefault="003D47A1" w:rsidP="003D47A1">
      <w:pPr>
        <w:spacing w:before="240" w:line="276" w:lineRule="auto"/>
        <w:rPr>
          <w:rFonts w:ascii="Arial" w:hAnsi="Arial" w:cs="Arial"/>
        </w:rPr>
      </w:pPr>
    </w:p>
    <w:p w:rsidR="00535C6E" w:rsidRDefault="00535C6E" w:rsidP="003D47A1">
      <w:pPr>
        <w:pStyle w:val="Heading2"/>
        <w:spacing w:line="276" w:lineRule="auto"/>
        <w:rPr>
          <w:rFonts w:ascii="Arial" w:hAnsi="Arial" w:cs="Arial"/>
        </w:rPr>
      </w:pPr>
      <w:bookmarkStart w:id="2" w:name="_Toc48307259"/>
      <w:r w:rsidRPr="003D47A1">
        <w:rPr>
          <w:rFonts w:ascii="Arial" w:hAnsi="Arial" w:cs="Arial"/>
        </w:rPr>
        <w:t>Financial Transparency</w:t>
      </w:r>
    </w:p>
    <w:p w:rsidR="003D47A1" w:rsidRPr="003D47A1" w:rsidRDefault="003D47A1" w:rsidP="003D47A1"/>
    <w:tbl>
      <w:tblPr>
        <w:tblStyle w:val="ListTable1Light-Accent5"/>
        <w:tblW w:w="0" w:type="auto"/>
        <w:tblLook w:val="04A0" w:firstRow="1" w:lastRow="0" w:firstColumn="1" w:lastColumn="0" w:noHBand="0" w:noVBand="1"/>
      </w:tblPr>
      <w:tblGrid>
        <w:gridCol w:w="4248"/>
        <w:gridCol w:w="4768"/>
      </w:tblGrid>
      <w:tr w:rsidR="00535C6E" w:rsidRPr="003D47A1" w:rsidTr="00665BE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48" w:type="dxa"/>
            <w:vMerge w:val="restart"/>
          </w:tcPr>
          <w:p w:rsidR="00535C6E" w:rsidRPr="003D47A1" w:rsidRDefault="00535C6E" w:rsidP="003D47A1">
            <w:pPr>
              <w:spacing w:line="276" w:lineRule="auto"/>
              <w:rPr>
                <w:rFonts w:ascii="Arial" w:hAnsi="Arial" w:cs="Arial"/>
                <w:b w:val="0"/>
              </w:rPr>
            </w:pPr>
            <w:r w:rsidRPr="003D47A1">
              <w:rPr>
                <w:rFonts w:ascii="Arial" w:hAnsi="Arial" w:cs="Arial"/>
                <w:b w:val="0"/>
              </w:rPr>
              <w:t>Defence-related access to information response rates</w:t>
            </w:r>
          </w:p>
        </w:tc>
        <w:tc>
          <w:tcPr>
            <w:tcW w:w="4768" w:type="dxa"/>
          </w:tcPr>
          <w:p w:rsidR="00535C6E" w:rsidRPr="003D47A1" w:rsidRDefault="00535C6E" w:rsidP="003D47A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D47A1">
              <w:rPr>
                <w:rFonts w:ascii="Arial" w:hAnsi="Arial" w:cs="Arial"/>
                <w:b w:val="0"/>
                <w:bCs w:val="0"/>
              </w:rPr>
              <w:t>(1</w:t>
            </w:r>
            <w:r w:rsidRPr="003D47A1">
              <w:rPr>
                <w:rFonts w:ascii="Arial" w:hAnsi="Arial" w:cs="Arial"/>
                <w:b w:val="0"/>
              </w:rPr>
              <w:t>) % granted full access: Data is not publicly available.</w:t>
            </w:r>
          </w:p>
        </w:tc>
      </w:tr>
      <w:tr w:rsidR="00535C6E" w:rsidRPr="003D47A1" w:rsidTr="00665BE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48" w:type="dxa"/>
            <w:vMerge/>
          </w:tcPr>
          <w:p w:rsidR="00535C6E" w:rsidRPr="003D47A1" w:rsidRDefault="00535C6E" w:rsidP="003D47A1">
            <w:pPr>
              <w:spacing w:line="276" w:lineRule="auto"/>
              <w:rPr>
                <w:rFonts w:ascii="Arial" w:hAnsi="Arial" w:cs="Arial"/>
                <w:b w:val="0"/>
              </w:rPr>
            </w:pPr>
          </w:p>
        </w:tc>
        <w:tc>
          <w:tcPr>
            <w:tcW w:w="4768" w:type="dxa"/>
          </w:tcPr>
          <w:p w:rsidR="00535C6E" w:rsidRPr="003D47A1" w:rsidRDefault="00535C6E"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(2) # subject to backlog: Data is not publicly available.</w:t>
            </w:r>
          </w:p>
        </w:tc>
      </w:tr>
      <w:tr w:rsidR="00535C6E" w:rsidRPr="003D47A1" w:rsidTr="00665BE1">
        <w:tc>
          <w:tcPr>
            <w:cnfStyle w:val="001000000000" w:firstRow="0" w:lastRow="0" w:firstColumn="1" w:lastColumn="0" w:oddVBand="0" w:evenVBand="0" w:oddHBand="0" w:evenHBand="0" w:firstRowFirstColumn="0" w:firstRowLastColumn="0" w:lastRowFirstColumn="0" w:lastRowLastColumn="0"/>
            <w:tcW w:w="4248" w:type="dxa"/>
          </w:tcPr>
          <w:p w:rsidR="00535C6E" w:rsidRPr="003D47A1" w:rsidRDefault="00535C6E" w:rsidP="003D47A1">
            <w:pPr>
              <w:spacing w:line="276" w:lineRule="auto"/>
              <w:rPr>
                <w:rFonts w:ascii="Arial" w:hAnsi="Arial" w:cs="Arial"/>
                <w:b w:val="0"/>
              </w:rPr>
            </w:pPr>
            <w:r w:rsidRPr="003D47A1">
              <w:rPr>
                <w:rFonts w:ascii="Arial" w:hAnsi="Arial" w:cs="Arial"/>
                <w:b w:val="0"/>
              </w:rPr>
              <w:t>Defence-related complaints to ombudsman/commissioner #</w:t>
            </w:r>
          </w:p>
        </w:tc>
        <w:tc>
          <w:tcPr>
            <w:tcW w:w="4768" w:type="dxa"/>
          </w:tcPr>
          <w:p w:rsidR="00535C6E" w:rsidRPr="003D47A1" w:rsidRDefault="00535C6E"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Data is not publicly available</w:t>
            </w:r>
          </w:p>
        </w:tc>
      </w:tr>
      <w:tr w:rsidR="00535C6E" w:rsidRPr="003D47A1" w:rsidTr="0066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535C6E" w:rsidRPr="003D47A1" w:rsidRDefault="00535C6E" w:rsidP="003D47A1">
            <w:pPr>
              <w:spacing w:line="276" w:lineRule="auto"/>
              <w:rPr>
                <w:rFonts w:ascii="Arial" w:hAnsi="Arial" w:cs="Arial"/>
                <w:b w:val="0"/>
              </w:rPr>
            </w:pPr>
            <w:r w:rsidRPr="003D47A1">
              <w:rPr>
                <w:rFonts w:ascii="Arial" w:hAnsi="Arial" w:cs="Arial"/>
                <w:b w:val="0"/>
              </w:rPr>
              <w:t>Does the commissioner have authority over the MoD?</w:t>
            </w:r>
          </w:p>
        </w:tc>
        <w:tc>
          <w:tcPr>
            <w:tcW w:w="4768" w:type="dxa"/>
          </w:tcPr>
          <w:p w:rsidR="00535C6E" w:rsidRPr="003D47A1" w:rsidRDefault="00535C6E"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Yes</w:t>
            </w:r>
          </w:p>
        </w:tc>
      </w:tr>
      <w:tr w:rsidR="00535C6E" w:rsidRPr="003D47A1" w:rsidTr="00665BE1">
        <w:tc>
          <w:tcPr>
            <w:cnfStyle w:val="001000000000" w:firstRow="0" w:lastRow="0" w:firstColumn="1" w:lastColumn="0" w:oddVBand="0" w:evenVBand="0" w:oddHBand="0" w:evenHBand="0" w:firstRowFirstColumn="0" w:firstRowLastColumn="0" w:lastRowFirstColumn="0" w:lastRowLastColumn="0"/>
            <w:tcW w:w="4248" w:type="dxa"/>
          </w:tcPr>
          <w:p w:rsidR="00535C6E" w:rsidRPr="003D47A1" w:rsidRDefault="00535C6E" w:rsidP="003D47A1">
            <w:pPr>
              <w:spacing w:line="276" w:lineRule="auto"/>
              <w:rPr>
                <w:rFonts w:ascii="Arial" w:hAnsi="Arial" w:cs="Arial"/>
                <w:b w:val="0"/>
              </w:rPr>
            </w:pPr>
            <w:r w:rsidRPr="003D47A1">
              <w:rPr>
                <w:rFonts w:ascii="Arial" w:hAnsi="Arial" w:cs="Arial"/>
                <w:b w:val="0"/>
              </w:rPr>
              <w:t>Audit reports on defence (2018-2020) #</w:t>
            </w:r>
          </w:p>
        </w:tc>
        <w:tc>
          <w:tcPr>
            <w:tcW w:w="4768" w:type="dxa"/>
          </w:tcPr>
          <w:p w:rsidR="00535C6E" w:rsidRPr="003D47A1" w:rsidRDefault="00535C6E"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None 2018, one scheduled for 2019 but currently no information on completion</w:t>
            </w:r>
          </w:p>
        </w:tc>
      </w:tr>
      <w:tr w:rsidR="00535C6E" w:rsidRPr="003D47A1" w:rsidTr="00665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535C6E" w:rsidRPr="003D47A1" w:rsidRDefault="00535C6E" w:rsidP="003D47A1">
            <w:pPr>
              <w:spacing w:line="276" w:lineRule="auto"/>
              <w:rPr>
                <w:rFonts w:ascii="Arial" w:hAnsi="Arial" w:cs="Arial"/>
                <w:b w:val="0"/>
              </w:rPr>
            </w:pPr>
            <w:r w:rsidRPr="003D47A1">
              <w:rPr>
                <w:rFonts w:ascii="Arial" w:hAnsi="Arial" w:cs="Arial"/>
                <w:b w:val="0"/>
              </w:rPr>
              <w:t>Open Budget Survey (IBP, 2019)</w:t>
            </w:r>
          </w:p>
        </w:tc>
        <w:tc>
          <w:tcPr>
            <w:tcW w:w="4768" w:type="dxa"/>
          </w:tcPr>
          <w:p w:rsidR="00535C6E" w:rsidRPr="003D47A1" w:rsidRDefault="00535C6E"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3D47A1">
              <w:rPr>
                <w:rFonts w:ascii="Arial" w:hAnsi="Arial" w:cs="Arial"/>
              </w:rPr>
              <w:t>Not rated</w:t>
            </w:r>
          </w:p>
        </w:tc>
      </w:tr>
      <w:tr w:rsidR="00535C6E" w:rsidRPr="003D47A1" w:rsidTr="00665BE1">
        <w:tc>
          <w:tcPr>
            <w:cnfStyle w:val="001000000000" w:firstRow="0" w:lastRow="0" w:firstColumn="1" w:lastColumn="0" w:oddVBand="0" w:evenVBand="0" w:oddHBand="0" w:evenHBand="0" w:firstRowFirstColumn="0" w:firstRowLastColumn="0" w:lastRowFirstColumn="0" w:lastRowLastColumn="0"/>
            <w:tcW w:w="4248" w:type="dxa"/>
          </w:tcPr>
          <w:p w:rsidR="00535C6E" w:rsidRPr="003D47A1" w:rsidRDefault="00535C6E" w:rsidP="003D47A1">
            <w:pPr>
              <w:spacing w:line="276" w:lineRule="auto"/>
              <w:rPr>
                <w:rFonts w:ascii="Arial" w:hAnsi="Arial" w:cs="Arial"/>
                <w:b w:val="0"/>
              </w:rPr>
            </w:pPr>
            <w:r w:rsidRPr="003D47A1">
              <w:rPr>
                <w:rFonts w:ascii="Arial" w:hAnsi="Arial" w:cs="Arial"/>
                <w:b w:val="0"/>
              </w:rPr>
              <w:t>World Press Freedom Index (RSF, 2021)</w:t>
            </w:r>
          </w:p>
        </w:tc>
        <w:tc>
          <w:tcPr>
            <w:tcW w:w="4768" w:type="dxa"/>
          </w:tcPr>
          <w:p w:rsidR="00535C6E" w:rsidRPr="003D47A1" w:rsidRDefault="00535C6E"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63</w:t>
            </w:r>
            <w:r w:rsidRPr="003D47A1">
              <w:rPr>
                <w:rFonts w:ascii="Arial" w:hAnsi="Arial" w:cs="Arial"/>
                <w:vertAlign w:val="superscript"/>
              </w:rPr>
              <w:t>rd</w:t>
            </w:r>
            <w:r w:rsidRPr="003D47A1">
              <w:rPr>
                <w:rFonts w:ascii="Arial" w:hAnsi="Arial" w:cs="Arial"/>
              </w:rPr>
              <w:t xml:space="preserve"> out of 180</w:t>
            </w:r>
          </w:p>
        </w:tc>
      </w:tr>
    </w:tbl>
    <w:p w:rsidR="00EC533A" w:rsidRDefault="002777A3" w:rsidP="003D47A1">
      <w:pPr>
        <w:spacing w:before="240" w:line="276" w:lineRule="auto"/>
        <w:rPr>
          <w:rFonts w:ascii="Arial" w:hAnsi="Arial" w:cs="Arial"/>
        </w:rPr>
      </w:pPr>
      <w:r w:rsidRPr="003D47A1">
        <w:rPr>
          <w:rFonts w:ascii="Arial" w:hAnsi="Arial" w:cs="Arial"/>
        </w:rPr>
        <w:t>Historically, t</w:t>
      </w:r>
      <w:r w:rsidR="00EC533A" w:rsidRPr="003D47A1">
        <w:rPr>
          <w:rFonts w:ascii="Arial" w:hAnsi="Arial" w:cs="Arial"/>
        </w:rPr>
        <w:t>ransparency around government decision making in Armenia has been limited, with previous administrations conducting policymaking in an opaque manner.</w:t>
      </w:r>
      <w:r w:rsidRPr="003D47A1">
        <w:rPr>
          <w:rStyle w:val="FootnoteReference"/>
          <w:rFonts w:ascii="Arial" w:hAnsi="Arial" w:cs="Arial"/>
        </w:rPr>
        <w:footnoteReference w:id="16"/>
      </w:r>
      <w:r w:rsidR="00EC533A" w:rsidRPr="003D47A1">
        <w:rPr>
          <w:rFonts w:ascii="Arial" w:hAnsi="Arial" w:cs="Arial"/>
        </w:rPr>
        <w:t xml:space="preserve"> </w:t>
      </w:r>
      <w:r w:rsidRPr="003D47A1">
        <w:rPr>
          <w:rFonts w:ascii="Arial" w:hAnsi="Arial" w:cs="Arial"/>
        </w:rPr>
        <w:t xml:space="preserve">Weak transparency has also long been a characteristic of the defence sector, particularly with regards to financial management. </w:t>
      </w:r>
      <w:r w:rsidR="00EC533A" w:rsidRPr="003D47A1">
        <w:rPr>
          <w:rFonts w:ascii="Arial" w:hAnsi="Arial" w:cs="Arial"/>
        </w:rPr>
        <w:t xml:space="preserve">Public access to information in </w:t>
      </w:r>
      <w:r w:rsidRPr="003D47A1">
        <w:rPr>
          <w:rFonts w:ascii="Arial" w:hAnsi="Arial" w:cs="Arial"/>
        </w:rPr>
        <w:t>defence</w:t>
      </w:r>
      <w:r w:rsidR="00EC533A" w:rsidRPr="003D47A1">
        <w:rPr>
          <w:rFonts w:ascii="Arial" w:hAnsi="Arial" w:cs="Arial"/>
        </w:rPr>
        <w:t xml:space="preserve"> </w:t>
      </w:r>
      <w:r w:rsidRPr="003D47A1">
        <w:rPr>
          <w:rFonts w:ascii="Arial" w:hAnsi="Arial" w:cs="Arial"/>
        </w:rPr>
        <w:t>is regulated by two laws</w:t>
      </w:r>
      <w:r w:rsidR="001E1B33" w:rsidRPr="003D47A1">
        <w:rPr>
          <w:rFonts w:ascii="Arial" w:hAnsi="Arial" w:cs="Arial"/>
        </w:rPr>
        <w:t>.</w:t>
      </w:r>
      <w:r w:rsidRPr="003D47A1">
        <w:rPr>
          <w:rFonts w:ascii="Arial" w:hAnsi="Arial" w:cs="Arial"/>
        </w:rPr>
        <w:t xml:space="preserve"> t</w:t>
      </w:r>
      <w:r w:rsidR="00EC533A" w:rsidRPr="003D47A1">
        <w:rPr>
          <w:rFonts w:ascii="Arial" w:hAnsi="Arial" w:cs="Arial"/>
        </w:rPr>
        <w:t>he Law on Freedom of Information ensures the right for public access to information held by state institutions.</w:t>
      </w:r>
      <w:r w:rsidRPr="003D47A1">
        <w:rPr>
          <w:rStyle w:val="FootnoteReference"/>
          <w:rFonts w:ascii="Arial" w:hAnsi="Arial" w:cs="Arial"/>
        </w:rPr>
        <w:footnoteReference w:id="17"/>
      </w:r>
      <w:r w:rsidR="001E1B33" w:rsidRPr="003D47A1">
        <w:rPr>
          <w:rFonts w:ascii="Arial" w:hAnsi="Arial" w:cs="Arial"/>
        </w:rPr>
        <w:t xml:space="preserve">But </w:t>
      </w:r>
      <w:r w:rsidR="00EC533A" w:rsidRPr="003D47A1">
        <w:rPr>
          <w:rFonts w:ascii="Arial" w:hAnsi="Arial" w:cs="Arial"/>
        </w:rPr>
        <w:t>the Law on State and Official Secrets effectively makes that provision irrelevant by allowing for classifying the major information in the defence sector as an area where the disclosure of information can have grave consequences for national security.</w:t>
      </w:r>
      <w:r w:rsidRPr="003D47A1">
        <w:rPr>
          <w:rStyle w:val="FootnoteReference"/>
          <w:rFonts w:ascii="Arial" w:hAnsi="Arial" w:cs="Arial"/>
        </w:rPr>
        <w:footnoteReference w:id="18"/>
      </w:r>
      <w:r w:rsidR="00EC533A" w:rsidRPr="003D47A1">
        <w:rPr>
          <w:rFonts w:ascii="Arial" w:hAnsi="Arial" w:cs="Arial"/>
        </w:rPr>
        <w:t xml:space="preserve"> This gives authorities broad scope to arbitrarily reject requests for information even if they pertain to non-sensitive data. This lack of transparency is also apparent in the secrecy surrounding the defence budget, the majority of which is not disclosed to the public. Only general items are published, with little clarity over</w:t>
      </w:r>
      <w:r w:rsidR="00FE7C05" w:rsidRPr="003D47A1">
        <w:rPr>
          <w:rFonts w:ascii="Arial" w:hAnsi="Arial" w:cs="Arial"/>
        </w:rPr>
        <w:t xml:space="preserve"> </w:t>
      </w:r>
      <w:r w:rsidR="00B3300D" w:rsidRPr="003D47A1">
        <w:rPr>
          <w:rFonts w:ascii="Arial" w:hAnsi="Arial" w:cs="Arial"/>
        </w:rPr>
        <w:t>the details</w:t>
      </w:r>
      <w:r w:rsidR="001E1B33" w:rsidRPr="003D47A1">
        <w:rPr>
          <w:rFonts w:ascii="Arial" w:hAnsi="Arial" w:cs="Arial"/>
        </w:rPr>
        <w:t>,</w:t>
      </w:r>
      <w:r w:rsidR="0068431D" w:rsidRPr="003D47A1">
        <w:rPr>
          <w:rFonts w:ascii="Arial" w:hAnsi="Arial" w:cs="Arial"/>
        </w:rPr>
        <w:t xml:space="preserve"> and figures are aggregated.</w:t>
      </w:r>
      <w:r w:rsidRPr="003D47A1">
        <w:rPr>
          <w:rStyle w:val="FootnoteReference"/>
          <w:rFonts w:ascii="Arial" w:hAnsi="Arial" w:cs="Arial"/>
        </w:rPr>
        <w:footnoteReference w:id="19"/>
      </w:r>
      <w:r w:rsidR="00B3300D" w:rsidRPr="003D47A1">
        <w:rPr>
          <w:rFonts w:ascii="Arial" w:hAnsi="Arial" w:cs="Arial"/>
        </w:rPr>
        <w:t xml:space="preserve"> </w:t>
      </w:r>
      <w:r w:rsidR="0068431D" w:rsidRPr="003D47A1">
        <w:rPr>
          <w:rFonts w:ascii="Arial" w:hAnsi="Arial" w:cs="Arial"/>
        </w:rPr>
        <w:t>Financial transparency is further undermined by the practice of off-budget spending in defence. While these funds require government approval and ministries are required to submit reports on off-budget spending,</w:t>
      </w:r>
      <w:r w:rsidR="00AA6D55" w:rsidRPr="003D47A1">
        <w:rPr>
          <w:rStyle w:val="FootnoteReference"/>
          <w:rFonts w:ascii="Arial" w:hAnsi="Arial" w:cs="Arial"/>
        </w:rPr>
        <w:footnoteReference w:id="20"/>
      </w:r>
      <w:r w:rsidR="0068431D" w:rsidRPr="003D47A1">
        <w:rPr>
          <w:rFonts w:ascii="Arial" w:hAnsi="Arial" w:cs="Arial"/>
        </w:rPr>
        <w:t xml:space="preserve"> there is no information available on the Ministry of Defence</w:t>
      </w:r>
      <w:r w:rsidR="00AA6D55" w:rsidRPr="003D47A1">
        <w:rPr>
          <w:rFonts w:ascii="Arial" w:hAnsi="Arial" w:cs="Arial"/>
        </w:rPr>
        <w:t>. This lack of transparency heightens vulnerabilities to corruption and undermines the reliability of the budget for oversight purposes.</w:t>
      </w:r>
      <w:r w:rsidR="00AA6D55" w:rsidRPr="003D47A1">
        <w:rPr>
          <w:rStyle w:val="FootnoteReference"/>
          <w:rFonts w:ascii="Arial" w:hAnsi="Arial" w:cs="Arial"/>
        </w:rPr>
        <w:footnoteReference w:id="21"/>
      </w:r>
    </w:p>
    <w:p w:rsidR="003D47A1" w:rsidRPr="003D47A1" w:rsidRDefault="003D47A1" w:rsidP="003D47A1">
      <w:pPr>
        <w:spacing w:before="240" w:line="276" w:lineRule="auto"/>
        <w:rPr>
          <w:rFonts w:ascii="Arial" w:hAnsi="Arial" w:cs="Arial"/>
        </w:rPr>
      </w:pPr>
    </w:p>
    <w:p w:rsidR="003D47A1" w:rsidRDefault="003D47A1">
      <w:pPr>
        <w:rPr>
          <w:rFonts w:ascii="Arial" w:eastAsiaTheme="majorEastAsia" w:hAnsi="Arial" w:cs="Arial"/>
          <w:color w:val="2E74B5" w:themeColor="accent1" w:themeShade="BF"/>
          <w:sz w:val="26"/>
          <w:szCs w:val="26"/>
        </w:rPr>
      </w:pPr>
      <w:r>
        <w:rPr>
          <w:rFonts w:ascii="Arial" w:hAnsi="Arial" w:cs="Arial"/>
        </w:rPr>
        <w:br w:type="page"/>
      </w:r>
    </w:p>
    <w:p w:rsidR="000A0727" w:rsidRDefault="000A0727" w:rsidP="003D47A1">
      <w:pPr>
        <w:pStyle w:val="Heading2"/>
        <w:spacing w:line="276" w:lineRule="auto"/>
        <w:rPr>
          <w:rFonts w:ascii="Arial" w:hAnsi="Arial" w:cs="Arial"/>
        </w:rPr>
      </w:pPr>
      <w:r w:rsidRPr="003D47A1">
        <w:rPr>
          <w:rFonts w:ascii="Arial" w:hAnsi="Arial" w:cs="Arial"/>
        </w:rPr>
        <w:t xml:space="preserve">Personnel Ethics Framework </w:t>
      </w:r>
    </w:p>
    <w:p w:rsidR="003D47A1" w:rsidRPr="003D47A1" w:rsidRDefault="003D47A1" w:rsidP="003D47A1"/>
    <w:tbl>
      <w:tblPr>
        <w:tblStyle w:val="ListTable1Light-Accent5"/>
        <w:tblW w:w="0" w:type="auto"/>
        <w:tblLook w:val="04A0" w:firstRow="1" w:lastRow="0" w:firstColumn="1" w:lastColumn="0" w:noHBand="0" w:noVBand="1"/>
      </w:tblPr>
      <w:tblGrid>
        <w:gridCol w:w="3600"/>
        <w:gridCol w:w="5400"/>
      </w:tblGrid>
      <w:tr w:rsidR="000A0727" w:rsidRPr="003D47A1" w:rsidTr="003D4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b w:val="0"/>
              </w:rPr>
            </w:pPr>
            <w:r w:rsidRPr="003D47A1">
              <w:rPr>
                <w:rFonts w:ascii="Arial" w:hAnsi="Arial" w:cs="Arial"/>
                <w:b w:val="0"/>
              </w:rPr>
              <w:t>Whistleblowing legislation</w:t>
            </w:r>
          </w:p>
        </w:tc>
        <w:tc>
          <w:tcPr>
            <w:tcW w:w="5400" w:type="dxa"/>
          </w:tcPr>
          <w:p w:rsidR="000A0727" w:rsidRPr="003D47A1" w:rsidRDefault="000A0727" w:rsidP="003D47A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D47A1">
              <w:rPr>
                <w:rFonts w:ascii="Arial" w:hAnsi="Arial" w:cs="Arial"/>
                <w:b w:val="0"/>
              </w:rPr>
              <w:t>Law on Whistleblowing (2018)</w:t>
            </w:r>
            <w:r w:rsidRPr="003D47A1">
              <w:rPr>
                <w:rStyle w:val="FootnoteReference"/>
                <w:rFonts w:ascii="Arial" w:hAnsi="Arial" w:cs="Arial"/>
                <w:b w:val="0"/>
              </w:rPr>
              <w:footnoteReference w:id="22"/>
            </w:r>
          </w:p>
        </w:tc>
      </w:tr>
      <w:tr w:rsidR="000A0727"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b w:val="0"/>
              </w:rPr>
            </w:pPr>
            <w:r w:rsidRPr="003D47A1">
              <w:rPr>
                <w:rFonts w:ascii="Arial" w:hAnsi="Arial" w:cs="Arial"/>
                <w:b w:val="0"/>
              </w:rPr>
              <w:t># defence-sector whistleblower cases</w:t>
            </w:r>
          </w:p>
        </w:tc>
        <w:tc>
          <w:tcPr>
            <w:tcW w:w="5400" w:type="dxa"/>
          </w:tcPr>
          <w:p w:rsidR="000A0727" w:rsidRPr="003D47A1" w:rsidRDefault="000A0727"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Data is not publicly available</w:t>
            </w:r>
          </w:p>
        </w:tc>
      </w:tr>
      <w:tr w:rsidR="000A0727" w:rsidRPr="003D47A1" w:rsidTr="003D47A1">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b w:val="0"/>
              </w:rPr>
            </w:pPr>
            <w:r w:rsidRPr="003D47A1">
              <w:rPr>
                <w:rFonts w:ascii="Arial" w:hAnsi="Arial" w:cs="Arial"/>
                <w:b w:val="0"/>
              </w:rPr>
              <w:t># Code of conduct violations</w:t>
            </w:r>
          </w:p>
        </w:tc>
        <w:tc>
          <w:tcPr>
            <w:tcW w:w="5400" w:type="dxa"/>
          </w:tcPr>
          <w:p w:rsidR="000A0727" w:rsidRPr="003D47A1" w:rsidRDefault="000A0727"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Military: Data is not publicly available</w:t>
            </w:r>
          </w:p>
        </w:tc>
      </w:tr>
      <w:tr w:rsidR="000A0727"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rPr>
            </w:pPr>
          </w:p>
        </w:tc>
        <w:tc>
          <w:tcPr>
            <w:tcW w:w="5400" w:type="dxa"/>
          </w:tcPr>
          <w:p w:rsidR="000A0727" w:rsidRPr="003D47A1" w:rsidRDefault="000A0727"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Civilian: Data is not publicly available</w:t>
            </w:r>
          </w:p>
        </w:tc>
      </w:tr>
      <w:tr w:rsidR="000A0727" w:rsidRPr="003D47A1" w:rsidTr="003D47A1">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b w:val="0"/>
              </w:rPr>
            </w:pPr>
            <w:r w:rsidRPr="003D47A1">
              <w:rPr>
                <w:rFonts w:ascii="Arial" w:hAnsi="Arial" w:cs="Arial"/>
                <w:b w:val="0"/>
              </w:rPr>
              <w:t>Financial disclosure system</w:t>
            </w:r>
          </w:p>
        </w:tc>
        <w:tc>
          <w:tcPr>
            <w:tcW w:w="5400" w:type="dxa"/>
          </w:tcPr>
          <w:p w:rsidR="000A0727" w:rsidRPr="003D47A1" w:rsidRDefault="000A0727" w:rsidP="003D47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D47A1">
              <w:rPr>
                <w:rFonts w:ascii="Arial" w:hAnsi="Arial" w:cs="Arial"/>
              </w:rPr>
              <w:t># submitted: Data is not publicly available</w:t>
            </w:r>
          </w:p>
        </w:tc>
      </w:tr>
      <w:tr w:rsidR="000A0727"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0A0727" w:rsidRPr="003D47A1" w:rsidRDefault="000A0727" w:rsidP="003D47A1">
            <w:pPr>
              <w:spacing w:line="276" w:lineRule="auto"/>
              <w:rPr>
                <w:rFonts w:ascii="Arial" w:hAnsi="Arial" w:cs="Arial"/>
              </w:rPr>
            </w:pPr>
          </w:p>
        </w:tc>
        <w:tc>
          <w:tcPr>
            <w:tcW w:w="5400" w:type="dxa"/>
          </w:tcPr>
          <w:p w:rsidR="000A0727" w:rsidRPr="003D47A1" w:rsidRDefault="000A0727"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 of violations: Data is not publicly available</w:t>
            </w:r>
          </w:p>
        </w:tc>
      </w:tr>
    </w:tbl>
    <w:bookmarkEnd w:id="2"/>
    <w:p w:rsidR="004C6367" w:rsidRDefault="004C6367" w:rsidP="003D47A1">
      <w:pPr>
        <w:spacing w:before="240" w:line="276" w:lineRule="auto"/>
        <w:rPr>
          <w:rFonts w:ascii="Arial" w:hAnsi="Arial" w:cs="Arial"/>
        </w:rPr>
      </w:pPr>
      <w:r w:rsidRPr="003D47A1">
        <w:rPr>
          <w:rFonts w:ascii="Arial" w:hAnsi="Arial" w:cs="Arial"/>
        </w:rPr>
        <w:t>Armenia’s Law on Whistleblowing entered into force in January 2018 and frames the rights and responsibilities of whistleblowers, including</w:t>
      </w:r>
      <w:r w:rsidR="7B18F033" w:rsidRPr="003D47A1">
        <w:rPr>
          <w:rFonts w:ascii="Arial" w:hAnsi="Arial" w:cs="Arial"/>
        </w:rPr>
        <w:t xml:space="preserve"> </w:t>
      </w:r>
      <w:r w:rsidR="004B2CEA" w:rsidRPr="003D47A1">
        <w:rPr>
          <w:rFonts w:ascii="Arial" w:hAnsi="Arial" w:cs="Arial"/>
        </w:rPr>
        <w:t>in relation to</w:t>
      </w:r>
      <w:r w:rsidRPr="003D47A1">
        <w:rPr>
          <w:rFonts w:ascii="Arial" w:hAnsi="Arial" w:cs="Arial"/>
        </w:rPr>
        <w:t xml:space="preserve"> defence institutions.</w:t>
      </w:r>
      <w:r w:rsidR="004B2CEA" w:rsidRPr="003D47A1">
        <w:rPr>
          <w:rStyle w:val="FootnoteReference"/>
          <w:rFonts w:ascii="Arial" w:hAnsi="Arial" w:cs="Arial"/>
        </w:rPr>
        <w:footnoteReference w:id="23"/>
      </w:r>
      <w:r w:rsidRPr="003D47A1">
        <w:rPr>
          <w:rFonts w:ascii="Arial" w:hAnsi="Arial" w:cs="Arial"/>
        </w:rPr>
        <w:t xml:space="preserve"> </w:t>
      </w:r>
      <w:r w:rsidR="00EA6AC1" w:rsidRPr="003D47A1">
        <w:rPr>
          <w:rFonts w:ascii="Arial" w:hAnsi="Arial" w:cs="Arial"/>
        </w:rPr>
        <w:t xml:space="preserve">The </w:t>
      </w:r>
      <w:r w:rsidR="00DA08C2" w:rsidRPr="003D47A1">
        <w:rPr>
          <w:rFonts w:ascii="Arial" w:hAnsi="Arial" w:cs="Arial"/>
        </w:rPr>
        <w:t>legislatio</w:t>
      </w:r>
      <w:r w:rsidR="00EA6AC1" w:rsidRPr="003D47A1">
        <w:rPr>
          <w:rFonts w:ascii="Arial" w:hAnsi="Arial" w:cs="Arial"/>
        </w:rPr>
        <w:t>n</w:t>
      </w:r>
      <w:r w:rsidR="00DA08C2" w:rsidRPr="003D47A1">
        <w:rPr>
          <w:rFonts w:ascii="Arial" w:hAnsi="Arial" w:cs="Arial"/>
        </w:rPr>
        <w:t xml:space="preserve"> is largely comprehensive, enshrining whistleblowers’ right to protection, anonymity and non-disclosure of personal information</w:t>
      </w:r>
      <w:r w:rsidR="00286FBE" w:rsidRPr="003D47A1">
        <w:rPr>
          <w:rFonts w:ascii="Arial" w:hAnsi="Arial" w:cs="Arial"/>
        </w:rPr>
        <w:t>.</w:t>
      </w:r>
      <w:r w:rsidR="00286FBE" w:rsidRPr="003D47A1">
        <w:rPr>
          <w:rStyle w:val="FootnoteReference"/>
          <w:rFonts w:ascii="Arial" w:hAnsi="Arial" w:cs="Arial"/>
        </w:rPr>
        <w:footnoteReference w:id="24"/>
      </w:r>
      <w:r w:rsidR="00286FBE" w:rsidRPr="003D47A1">
        <w:rPr>
          <w:rFonts w:ascii="Arial" w:hAnsi="Arial" w:cs="Arial"/>
        </w:rPr>
        <w:t xml:space="preserve"> </w:t>
      </w:r>
      <w:r w:rsidR="00866EDB" w:rsidRPr="003D47A1">
        <w:rPr>
          <w:rFonts w:ascii="Arial" w:hAnsi="Arial" w:cs="Arial"/>
        </w:rPr>
        <w:t>In the defence sector, the Ministry of Defence</w:t>
      </w:r>
      <w:r w:rsidR="00427A6F" w:rsidRPr="003D47A1">
        <w:rPr>
          <w:rFonts w:ascii="Arial" w:hAnsi="Arial" w:cs="Arial"/>
        </w:rPr>
        <w:t xml:space="preserve"> (MoD)</w:t>
      </w:r>
      <w:r w:rsidR="00866EDB" w:rsidRPr="003D47A1">
        <w:rPr>
          <w:rFonts w:ascii="Arial" w:hAnsi="Arial" w:cs="Arial"/>
        </w:rPr>
        <w:t xml:space="preserve">’s Human Rights and Integrity Building Centre is the responsible authority for implementing the legislation and processing </w:t>
      </w:r>
      <w:r w:rsidR="00EA6AC1" w:rsidRPr="003D47A1">
        <w:rPr>
          <w:rFonts w:ascii="Arial" w:hAnsi="Arial" w:cs="Arial"/>
        </w:rPr>
        <w:t xml:space="preserve">whistleblower </w:t>
      </w:r>
      <w:r w:rsidR="00866EDB" w:rsidRPr="003D47A1">
        <w:rPr>
          <w:rFonts w:ascii="Arial" w:hAnsi="Arial" w:cs="Arial"/>
        </w:rPr>
        <w:t>reports.</w:t>
      </w:r>
      <w:r w:rsidR="000A0727" w:rsidRPr="003D47A1">
        <w:rPr>
          <w:rStyle w:val="FootnoteReference"/>
          <w:rFonts w:ascii="Arial" w:hAnsi="Arial" w:cs="Arial"/>
        </w:rPr>
        <w:footnoteReference w:id="25"/>
      </w:r>
      <w:r w:rsidR="00866EDB" w:rsidRPr="003D47A1">
        <w:rPr>
          <w:rFonts w:ascii="Arial" w:hAnsi="Arial" w:cs="Arial"/>
        </w:rPr>
        <w:t xml:space="preserve"> </w:t>
      </w:r>
      <w:r w:rsidR="00EA6AC1" w:rsidRPr="003D47A1">
        <w:rPr>
          <w:rFonts w:ascii="Arial" w:hAnsi="Arial" w:cs="Arial"/>
        </w:rPr>
        <w:t xml:space="preserve">In institutional terms, </w:t>
      </w:r>
      <w:r w:rsidR="002D0C99" w:rsidRPr="003D47A1">
        <w:rPr>
          <w:rFonts w:ascii="Arial" w:hAnsi="Arial" w:cs="Arial"/>
        </w:rPr>
        <w:t xml:space="preserve">the </w:t>
      </w:r>
      <w:r w:rsidR="00EA6AC1" w:rsidRPr="003D47A1">
        <w:rPr>
          <w:rFonts w:ascii="Arial" w:hAnsi="Arial" w:cs="Arial"/>
        </w:rPr>
        <w:t>independence of the M</w:t>
      </w:r>
      <w:r w:rsidR="00427A6F" w:rsidRPr="003D47A1">
        <w:rPr>
          <w:rFonts w:ascii="Arial" w:hAnsi="Arial" w:cs="Arial"/>
        </w:rPr>
        <w:t>o</w:t>
      </w:r>
      <w:r w:rsidR="00EA6AC1" w:rsidRPr="003D47A1">
        <w:rPr>
          <w:rFonts w:ascii="Arial" w:hAnsi="Arial" w:cs="Arial"/>
        </w:rPr>
        <w:t xml:space="preserve">D’s </w:t>
      </w:r>
      <w:r w:rsidR="002D0C99" w:rsidRPr="003D47A1">
        <w:rPr>
          <w:rFonts w:ascii="Arial" w:hAnsi="Arial" w:cs="Arial"/>
        </w:rPr>
        <w:t>Human Rights</w:t>
      </w:r>
      <w:r w:rsidR="008F5313" w:rsidRPr="003D47A1">
        <w:rPr>
          <w:rFonts w:ascii="Arial" w:hAnsi="Arial" w:cs="Arial"/>
        </w:rPr>
        <w:t xml:space="preserve"> Centre </w:t>
      </w:r>
      <w:r w:rsidR="00EA6AC1" w:rsidRPr="003D47A1">
        <w:rPr>
          <w:rFonts w:ascii="Arial" w:hAnsi="Arial" w:cs="Arial"/>
        </w:rPr>
        <w:t>and its</w:t>
      </w:r>
      <w:r w:rsidR="00631B9A" w:rsidRPr="003D47A1">
        <w:rPr>
          <w:rFonts w:ascii="Arial" w:hAnsi="Arial" w:cs="Arial"/>
        </w:rPr>
        <w:t xml:space="preserve"> ability to protect w</w:t>
      </w:r>
      <w:r w:rsidR="00EA6AC1" w:rsidRPr="003D47A1">
        <w:rPr>
          <w:rFonts w:ascii="Arial" w:hAnsi="Arial" w:cs="Arial"/>
        </w:rPr>
        <w:t xml:space="preserve">histleblowers could be limited by the fact that it </w:t>
      </w:r>
      <w:r w:rsidR="002D0C99" w:rsidRPr="003D47A1">
        <w:rPr>
          <w:rFonts w:ascii="Arial" w:hAnsi="Arial" w:cs="Arial"/>
        </w:rPr>
        <w:t xml:space="preserve">is directly accountable to the Minister of Defence and its activities can be stopped at any time by the Minister’s order. </w:t>
      </w:r>
      <w:r w:rsidR="00EA6AC1" w:rsidRPr="003D47A1">
        <w:rPr>
          <w:rFonts w:ascii="Arial" w:hAnsi="Arial" w:cs="Arial"/>
        </w:rPr>
        <w:t xml:space="preserve">While this could protect the Centre from influence from elsewhere within the system, it does expose it to greater impact of the Minister’s decisions, which could result in hesitation among potential whistleblowers. </w:t>
      </w:r>
      <w:r w:rsidR="001D3513" w:rsidRPr="003D47A1">
        <w:rPr>
          <w:rFonts w:ascii="Arial" w:hAnsi="Arial" w:cs="Arial"/>
        </w:rPr>
        <w:t>Elsewhere, anti-corruption standards for personnel</w:t>
      </w:r>
      <w:r w:rsidR="00427A6F" w:rsidRPr="003D47A1">
        <w:rPr>
          <w:rFonts w:ascii="Arial" w:hAnsi="Arial" w:cs="Arial"/>
        </w:rPr>
        <w:t>,</w:t>
      </w:r>
      <w:r w:rsidR="001D3513" w:rsidRPr="003D47A1">
        <w:rPr>
          <w:rFonts w:ascii="Arial" w:hAnsi="Arial" w:cs="Arial"/>
        </w:rPr>
        <w:t xml:space="preserve"> as laid out in codes of conduct</w:t>
      </w:r>
      <w:r w:rsidR="00427A6F" w:rsidRPr="003D47A1">
        <w:rPr>
          <w:rFonts w:ascii="Arial" w:hAnsi="Arial" w:cs="Arial"/>
        </w:rPr>
        <w:t>,</w:t>
      </w:r>
      <w:r w:rsidR="001D3513" w:rsidRPr="003D47A1">
        <w:rPr>
          <w:rFonts w:ascii="Arial" w:hAnsi="Arial" w:cs="Arial"/>
        </w:rPr>
        <w:t xml:space="preserve"> are weak. The conduct of military personnel is regulated by the Law on the Disciplinary Code of the Armed Forces</w:t>
      </w:r>
      <w:r w:rsidR="001D3513" w:rsidRPr="003D47A1">
        <w:rPr>
          <w:rStyle w:val="FootnoteReference"/>
          <w:rFonts w:ascii="Arial" w:hAnsi="Arial" w:cs="Arial"/>
        </w:rPr>
        <w:footnoteReference w:id="26"/>
      </w:r>
      <w:r w:rsidR="001D3513" w:rsidRPr="003D47A1">
        <w:rPr>
          <w:rFonts w:ascii="Arial" w:hAnsi="Arial" w:cs="Arial"/>
        </w:rPr>
        <w:t xml:space="preserve"> and the Law on Approving the Code </w:t>
      </w:r>
      <w:r w:rsidR="00E049A9" w:rsidRPr="003D47A1">
        <w:rPr>
          <w:rFonts w:ascii="Arial" w:hAnsi="Arial" w:cs="Arial"/>
        </w:rPr>
        <w:t>of</w:t>
      </w:r>
      <w:r w:rsidR="001D3513" w:rsidRPr="003D47A1">
        <w:rPr>
          <w:rFonts w:ascii="Arial" w:hAnsi="Arial" w:cs="Arial"/>
        </w:rPr>
        <w:t xml:space="preserve"> Internal Service of the Armed Forces.</w:t>
      </w:r>
      <w:r w:rsidR="001D3513" w:rsidRPr="003D47A1">
        <w:rPr>
          <w:rStyle w:val="FootnoteReference"/>
          <w:rFonts w:ascii="Arial" w:hAnsi="Arial" w:cs="Arial"/>
        </w:rPr>
        <w:footnoteReference w:id="27"/>
      </w:r>
      <w:r w:rsidR="001D3513" w:rsidRPr="003D47A1">
        <w:rPr>
          <w:rFonts w:ascii="Arial" w:hAnsi="Arial" w:cs="Arial"/>
        </w:rPr>
        <w:t xml:space="preserve"> While the laws lay out the foundations of military discipline, neither makes any reference to corruption issues. Conversely, civilian personnel are subject to the Law on Civil Service</w:t>
      </w:r>
      <w:r w:rsidR="001D3513" w:rsidRPr="003D47A1">
        <w:rPr>
          <w:rStyle w:val="FootnoteReference"/>
          <w:rFonts w:ascii="Arial" w:hAnsi="Arial" w:cs="Arial"/>
        </w:rPr>
        <w:footnoteReference w:id="28"/>
      </w:r>
      <w:r w:rsidR="001D3513" w:rsidRPr="003D47A1">
        <w:rPr>
          <w:rFonts w:ascii="Arial" w:hAnsi="Arial" w:cs="Arial"/>
        </w:rPr>
        <w:t xml:space="preserve"> and Decree N48</w:t>
      </w:r>
      <w:r w:rsidR="001D3513" w:rsidRPr="003D47A1">
        <w:rPr>
          <w:rStyle w:val="FootnoteReference"/>
          <w:rFonts w:ascii="Arial" w:hAnsi="Arial" w:cs="Arial"/>
        </w:rPr>
        <w:footnoteReference w:id="29"/>
      </w:r>
      <w:r w:rsidR="001D3513" w:rsidRPr="003D47A1">
        <w:rPr>
          <w:rFonts w:ascii="Arial" w:hAnsi="Arial" w:cs="Arial"/>
        </w:rPr>
        <w:t xml:space="preserve"> which explicitly address issues related to bribery and illicit enrichment.</w:t>
      </w:r>
      <w:r w:rsidR="002976C6" w:rsidRPr="003D47A1">
        <w:rPr>
          <w:rFonts w:ascii="Arial" w:hAnsi="Arial" w:cs="Arial"/>
        </w:rPr>
        <w:t xml:space="preserve"> Nevertheless, there are question marks around the implementation of Decree 48</w:t>
      </w:r>
      <w:r w:rsidR="00E049A9" w:rsidRPr="003D47A1">
        <w:rPr>
          <w:rFonts w:ascii="Arial" w:hAnsi="Arial" w:cs="Arial"/>
        </w:rPr>
        <w:t>,</w:t>
      </w:r>
      <w:r w:rsidR="002976C6" w:rsidRPr="003D47A1">
        <w:rPr>
          <w:rFonts w:ascii="Arial" w:hAnsi="Arial" w:cs="Arial"/>
        </w:rPr>
        <w:t xml:space="preserve"> as there is no evidence that gifts are regularly reported or transferred to the State Treasury as proscribed.</w:t>
      </w:r>
      <w:r w:rsidR="002976C6" w:rsidRPr="003D47A1">
        <w:rPr>
          <w:rStyle w:val="FootnoteReference"/>
          <w:rFonts w:ascii="Arial" w:hAnsi="Arial" w:cs="Arial"/>
        </w:rPr>
        <w:footnoteReference w:id="30"/>
      </w:r>
    </w:p>
    <w:p w:rsidR="003D47A1" w:rsidRPr="003D47A1" w:rsidRDefault="003D47A1" w:rsidP="003D47A1">
      <w:pPr>
        <w:spacing w:before="240" w:line="276" w:lineRule="auto"/>
        <w:rPr>
          <w:rFonts w:ascii="Arial" w:hAnsi="Arial" w:cs="Arial"/>
        </w:rPr>
      </w:pPr>
    </w:p>
    <w:p w:rsidR="003D47A1" w:rsidRDefault="003D47A1">
      <w:pPr>
        <w:rPr>
          <w:rFonts w:ascii="Arial" w:eastAsiaTheme="majorEastAsia" w:hAnsi="Arial" w:cs="Arial"/>
          <w:color w:val="2E74B5" w:themeColor="accent1" w:themeShade="BF"/>
          <w:sz w:val="26"/>
          <w:szCs w:val="26"/>
        </w:rPr>
      </w:pPr>
      <w:bookmarkStart w:id="3" w:name="_Toc48307332"/>
      <w:bookmarkStart w:id="4" w:name="_Toc48307260"/>
      <w:r>
        <w:rPr>
          <w:rFonts w:ascii="Arial" w:hAnsi="Arial" w:cs="Arial"/>
        </w:rPr>
        <w:br w:type="page"/>
      </w:r>
    </w:p>
    <w:p w:rsidR="002976C6" w:rsidRDefault="002976C6" w:rsidP="003D47A1">
      <w:pPr>
        <w:pStyle w:val="Heading2"/>
        <w:spacing w:line="276" w:lineRule="auto"/>
        <w:rPr>
          <w:rFonts w:ascii="Arial" w:hAnsi="Arial" w:cs="Arial"/>
        </w:rPr>
      </w:pPr>
      <w:r w:rsidRPr="003D47A1">
        <w:rPr>
          <w:rFonts w:ascii="Arial" w:hAnsi="Arial" w:cs="Arial"/>
        </w:rPr>
        <w:t>Operations</w:t>
      </w:r>
      <w:bookmarkEnd w:id="3"/>
      <w:r w:rsidRPr="003D47A1">
        <w:rPr>
          <w:rFonts w:ascii="Arial" w:hAnsi="Arial" w:cs="Arial"/>
        </w:rPr>
        <w:t xml:space="preserve"> </w:t>
      </w:r>
    </w:p>
    <w:p w:rsidR="003D47A1" w:rsidRPr="003D47A1" w:rsidRDefault="003D47A1" w:rsidP="003D47A1"/>
    <w:tbl>
      <w:tblPr>
        <w:tblStyle w:val="ListTable1Light-Accent5"/>
        <w:tblW w:w="0" w:type="auto"/>
        <w:tblLook w:val="04A0" w:firstRow="1" w:lastRow="0" w:firstColumn="1" w:lastColumn="0" w:noHBand="0" w:noVBand="1"/>
      </w:tblPr>
      <w:tblGrid>
        <w:gridCol w:w="3960"/>
        <w:gridCol w:w="5040"/>
      </w:tblGrid>
      <w:tr w:rsidR="002976C6" w:rsidRPr="003D47A1" w:rsidTr="003D4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2976C6" w:rsidRPr="003D47A1" w:rsidRDefault="002976C6" w:rsidP="003D47A1">
            <w:pPr>
              <w:spacing w:line="276" w:lineRule="auto"/>
              <w:rPr>
                <w:rFonts w:ascii="Arial" w:hAnsi="Arial" w:cs="Arial"/>
                <w:b w:val="0"/>
              </w:rPr>
            </w:pPr>
            <w:r w:rsidRPr="003D47A1">
              <w:rPr>
                <w:rFonts w:ascii="Arial" w:hAnsi="Arial" w:cs="Arial"/>
                <w:b w:val="0"/>
              </w:rPr>
              <w:t>Total armed forces personnel (World Bank, 2018)</w:t>
            </w:r>
          </w:p>
        </w:tc>
        <w:tc>
          <w:tcPr>
            <w:tcW w:w="5040" w:type="dxa"/>
          </w:tcPr>
          <w:p w:rsidR="002976C6" w:rsidRPr="003D47A1" w:rsidRDefault="002976C6" w:rsidP="003D47A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D47A1">
              <w:rPr>
                <w:rFonts w:ascii="Arial" w:hAnsi="Arial" w:cs="Arial"/>
                <w:b w:val="0"/>
              </w:rPr>
              <w:t>49,000</w:t>
            </w:r>
          </w:p>
        </w:tc>
      </w:tr>
      <w:tr w:rsidR="002976C6" w:rsidRPr="003D47A1" w:rsidTr="003D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2976C6" w:rsidRPr="003D47A1" w:rsidRDefault="002976C6" w:rsidP="003D47A1">
            <w:pPr>
              <w:spacing w:line="276" w:lineRule="auto"/>
              <w:rPr>
                <w:rFonts w:ascii="Arial" w:hAnsi="Arial" w:cs="Arial"/>
                <w:b w:val="0"/>
                <w:highlight w:val="yellow"/>
              </w:rPr>
            </w:pPr>
            <w:r w:rsidRPr="003D47A1">
              <w:rPr>
                <w:rFonts w:ascii="Arial" w:hAnsi="Arial" w:cs="Arial"/>
                <w:b w:val="0"/>
              </w:rPr>
              <w:t>Troops deployed on operations #</w:t>
            </w:r>
          </w:p>
        </w:tc>
        <w:tc>
          <w:tcPr>
            <w:tcW w:w="5040" w:type="dxa"/>
          </w:tcPr>
          <w:p w:rsidR="002976C6" w:rsidRPr="003D47A1" w:rsidRDefault="002976C6" w:rsidP="003D47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47A1">
              <w:rPr>
                <w:rFonts w:ascii="Arial" w:hAnsi="Arial" w:cs="Arial"/>
              </w:rPr>
              <w:t>41 in Kosovo (NATO),</w:t>
            </w:r>
            <w:r w:rsidRPr="003D47A1">
              <w:rPr>
                <w:rStyle w:val="FootnoteReference"/>
                <w:rFonts w:ascii="Arial" w:hAnsi="Arial" w:cs="Arial"/>
              </w:rPr>
              <w:footnoteReference w:id="31"/>
            </w:r>
            <w:r w:rsidRPr="003D47A1">
              <w:rPr>
                <w:rFonts w:ascii="Arial" w:hAnsi="Arial" w:cs="Arial"/>
              </w:rPr>
              <w:t xml:space="preserve"> 33 in Lebanon (UNIFIL)</w:t>
            </w:r>
            <w:r w:rsidRPr="003D47A1">
              <w:rPr>
                <w:rStyle w:val="FootnoteReference"/>
                <w:rFonts w:ascii="Arial" w:hAnsi="Arial" w:cs="Arial"/>
              </w:rPr>
              <w:footnoteReference w:id="32"/>
            </w:r>
            <w:r w:rsidRPr="003D47A1">
              <w:rPr>
                <w:rFonts w:ascii="Arial" w:hAnsi="Arial" w:cs="Arial"/>
              </w:rPr>
              <w:t xml:space="preserve"> &amp; 20,000 in Nagorno-Karabakh (Artsakh Defence Army)</w:t>
            </w:r>
            <w:r w:rsidRPr="003D47A1">
              <w:rPr>
                <w:rStyle w:val="FootnoteReference"/>
                <w:rFonts w:ascii="Arial" w:hAnsi="Arial" w:cs="Arial"/>
              </w:rPr>
              <w:footnoteReference w:id="33"/>
            </w:r>
          </w:p>
        </w:tc>
      </w:tr>
    </w:tbl>
    <w:bookmarkEnd w:id="4"/>
    <w:p w:rsidR="00EC533A" w:rsidRDefault="00EC533A" w:rsidP="003D47A1">
      <w:pPr>
        <w:spacing w:before="240" w:line="276" w:lineRule="auto"/>
        <w:rPr>
          <w:rFonts w:ascii="Arial" w:hAnsi="Arial" w:cs="Arial"/>
        </w:rPr>
      </w:pPr>
      <w:r w:rsidRPr="003D47A1">
        <w:rPr>
          <w:rFonts w:ascii="Arial" w:hAnsi="Arial" w:cs="Arial"/>
        </w:rPr>
        <w:t>Armenia has a significant number of soldiers in operations, from domestic posts to NATO missions and a contingent deployed with the UN in Lebanon. It has benefitted from participating in the NATO Building Integrity programme, however, the Armenian MOD does not appear to treat the issue of corruption in operations systematically. The military doctrine does not address corrup</w:t>
      </w:r>
      <w:r w:rsidR="002976C6" w:rsidRPr="003D47A1">
        <w:rPr>
          <w:rFonts w:ascii="Arial" w:hAnsi="Arial" w:cs="Arial"/>
        </w:rPr>
        <w:t>tion risks as a strategic issue.</w:t>
      </w:r>
      <w:r w:rsidR="002976C6" w:rsidRPr="003D47A1">
        <w:rPr>
          <w:rStyle w:val="FootnoteReference"/>
          <w:rFonts w:ascii="Arial" w:hAnsi="Arial" w:cs="Arial"/>
        </w:rPr>
        <w:footnoteReference w:id="34"/>
      </w:r>
      <w:r w:rsidR="002976C6" w:rsidRPr="003D47A1">
        <w:rPr>
          <w:rFonts w:ascii="Arial" w:hAnsi="Arial" w:cs="Arial"/>
        </w:rPr>
        <w:t xml:space="preserve"> </w:t>
      </w:r>
      <w:r w:rsidR="00E049A9" w:rsidRPr="003D47A1">
        <w:rPr>
          <w:rFonts w:ascii="Arial" w:hAnsi="Arial" w:cs="Arial"/>
        </w:rPr>
        <w:t>C</w:t>
      </w:r>
      <w:r w:rsidRPr="003D47A1">
        <w:rPr>
          <w:rFonts w:ascii="Arial" w:hAnsi="Arial" w:cs="Arial"/>
        </w:rPr>
        <w:t>orruption considerations are not included in the forward planning processes</w:t>
      </w:r>
      <w:r w:rsidR="002976C6" w:rsidRPr="003D47A1">
        <w:rPr>
          <w:rFonts w:ascii="Arial" w:hAnsi="Arial" w:cs="Arial"/>
        </w:rPr>
        <w:t xml:space="preserve"> for operations</w:t>
      </w:r>
      <w:r w:rsidR="00E049A9" w:rsidRPr="003D47A1">
        <w:rPr>
          <w:rFonts w:ascii="Arial" w:hAnsi="Arial" w:cs="Arial"/>
        </w:rPr>
        <w:t>,</w:t>
      </w:r>
      <w:r w:rsidR="002976C6" w:rsidRPr="003D47A1">
        <w:rPr>
          <w:rFonts w:ascii="Arial" w:hAnsi="Arial" w:cs="Arial"/>
        </w:rPr>
        <w:t xml:space="preserve"> and while the government has signalled an intent to focus on defence corruption issues, it is not clear whether operations are included in this.</w:t>
      </w:r>
      <w:r w:rsidR="002976C6" w:rsidRPr="003D47A1">
        <w:rPr>
          <w:rStyle w:val="FootnoteReference"/>
          <w:rFonts w:ascii="Arial" w:hAnsi="Arial" w:cs="Arial"/>
        </w:rPr>
        <w:footnoteReference w:id="35"/>
      </w:r>
      <w:r w:rsidRPr="003D47A1">
        <w:rPr>
          <w:rFonts w:ascii="Arial" w:hAnsi="Arial" w:cs="Arial"/>
        </w:rPr>
        <w:t xml:space="preserve"> </w:t>
      </w:r>
      <w:r w:rsidR="002976C6" w:rsidRPr="003D47A1">
        <w:rPr>
          <w:rFonts w:ascii="Arial" w:hAnsi="Arial" w:cs="Arial"/>
        </w:rPr>
        <w:t>Furthermore</w:t>
      </w:r>
      <w:r w:rsidRPr="003D47A1">
        <w:rPr>
          <w:rFonts w:ascii="Arial" w:hAnsi="Arial" w:cs="Arial"/>
        </w:rPr>
        <w:t xml:space="preserve">, training for commanders on corruption issues is dependent on civil society or military partners and tends to be restricted to Armenia’s peacekeeping battalion. </w:t>
      </w:r>
      <w:r w:rsidR="002976C6" w:rsidRPr="003D47A1">
        <w:rPr>
          <w:rFonts w:ascii="Arial" w:hAnsi="Arial" w:cs="Arial"/>
        </w:rPr>
        <w:t>While t</w:t>
      </w:r>
      <w:r w:rsidRPr="003D47A1">
        <w:rPr>
          <w:rFonts w:ascii="Arial" w:hAnsi="Arial" w:cs="Arial"/>
        </w:rPr>
        <w:t xml:space="preserve">he establishment of the Peacekeeping Training Area in Yerevan is a positive step; </w:t>
      </w:r>
      <w:r w:rsidR="002976C6" w:rsidRPr="003D47A1">
        <w:rPr>
          <w:rFonts w:ascii="Arial" w:hAnsi="Arial" w:cs="Arial"/>
        </w:rPr>
        <w:t>it remains to be seen whether there will be corruption-focussed courses delivered to peacekeepers. There is also no evidence that the military engages in corruption monitoring during operations or that specifically trained personnel are deployed to monitor and evaluate corruption risk in the field. This means that personnel and missions are ill-equipped to identify and address corruption-related issues during operations, significantly increasing the risk that such issues undermine mission objectives.</w:t>
      </w:r>
    </w:p>
    <w:p w:rsidR="003D47A1" w:rsidRPr="003D47A1" w:rsidRDefault="003D47A1" w:rsidP="003D47A1">
      <w:pPr>
        <w:spacing w:before="240" w:line="276" w:lineRule="auto"/>
        <w:rPr>
          <w:rFonts w:ascii="Arial" w:hAnsi="Arial" w:cs="Arial"/>
        </w:rPr>
      </w:pPr>
    </w:p>
    <w:p w:rsidR="003D47A1" w:rsidRDefault="003D47A1">
      <w:pPr>
        <w:rPr>
          <w:rFonts w:ascii="Arial" w:eastAsiaTheme="majorEastAsia" w:hAnsi="Arial" w:cs="Arial"/>
          <w:color w:val="2E74B5" w:themeColor="accent1" w:themeShade="BF"/>
          <w:sz w:val="26"/>
          <w:szCs w:val="26"/>
        </w:rPr>
      </w:pPr>
      <w:bookmarkStart w:id="5" w:name="_Toc48307257"/>
      <w:r>
        <w:rPr>
          <w:rFonts w:ascii="Arial" w:hAnsi="Arial" w:cs="Arial"/>
        </w:rPr>
        <w:br w:type="page"/>
      </w:r>
    </w:p>
    <w:p w:rsidR="00535C6E" w:rsidRDefault="00535C6E" w:rsidP="003D47A1">
      <w:pPr>
        <w:pStyle w:val="Heading2"/>
        <w:spacing w:line="276" w:lineRule="auto"/>
        <w:rPr>
          <w:rFonts w:ascii="Arial" w:hAnsi="Arial" w:cs="Arial"/>
        </w:rPr>
      </w:pPr>
      <w:r w:rsidRPr="003D47A1">
        <w:rPr>
          <w:rFonts w:ascii="Arial" w:hAnsi="Arial" w:cs="Arial"/>
        </w:rPr>
        <w:t>Defence Procurement</w:t>
      </w:r>
    </w:p>
    <w:p w:rsidR="003D47A1" w:rsidRPr="003D47A1" w:rsidRDefault="003D47A1" w:rsidP="003D47A1"/>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3870"/>
      </w:tblGrid>
      <w:tr w:rsidR="00535C6E" w:rsidRPr="003D47A1" w:rsidTr="003D47A1">
        <w:tc>
          <w:tcPr>
            <w:tcW w:w="5310" w:type="dxa"/>
            <w:tcBorders>
              <w:top w:val="nil"/>
              <w:left w:val="nil"/>
              <w:bottom w:val="single" w:sz="6" w:space="0" w:color="8EAADB"/>
              <w:right w:val="nil"/>
            </w:tcBorders>
            <w:shd w:val="clear" w:color="auto" w:fill="auto"/>
            <w:hideMark/>
          </w:tcPr>
          <w:p w:rsidR="00535C6E" w:rsidRPr="003D47A1" w:rsidRDefault="00535C6E" w:rsidP="003D47A1">
            <w:pPr>
              <w:spacing w:after="0" w:line="276" w:lineRule="auto"/>
              <w:textAlignment w:val="baseline"/>
              <w:rPr>
                <w:rFonts w:ascii="Arial" w:eastAsia="Times New Roman" w:hAnsi="Arial" w:cs="Arial"/>
                <w:bCs/>
                <w:lang w:eastAsia="en-GB"/>
              </w:rPr>
            </w:pPr>
            <w:r w:rsidRPr="003D47A1">
              <w:rPr>
                <w:rFonts w:ascii="Arial" w:eastAsia="Times New Roman" w:hAnsi="Arial" w:cs="Arial"/>
                <w:lang w:eastAsia="en-GB"/>
              </w:rPr>
              <w:t>Military expenditure (US$ mil) (SIPRI, 2020)</w:t>
            </w:r>
          </w:p>
        </w:tc>
        <w:tc>
          <w:tcPr>
            <w:tcW w:w="3870" w:type="dxa"/>
            <w:tcBorders>
              <w:top w:val="nil"/>
              <w:left w:val="nil"/>
              <w:bottom w:val="single" w:sz="6" w:space="0" w:color="8EAADB"/>
              <w:right w:val="nil"/>
            </w:tcBorders>
            <w:shd w:val="clear" w:color="auto" w:fill="auto"/>
            <w:hideMark/>
          </w:tcPr>
          <w:p w:rsidR="00535C6E" w:rsidRPr="003D47A1" w:rsidRDefault="00535C6E" w:rsidP="003D47A1">
            <w:pPr>
              <w:spacing w:after="0" w:line="276" w:lineRule="auto"/>
              <w:textAlignment w:val="baseline"/>
              <w:rPr>
                <w:rFonts w:ascii="Arial" w:eastAsia="Times New Roman" w:hAnsi="Arial" w:cs="Arial"/>
                <w:bCs/>
                <w:lang w:eastAsia="en-GB"/>
              </w:rPr>
            </w:pPr>
            <w:r w:rsidRPr="003D47A1">
              <w:rPr>
                <w:rFonts w:ascii="Arial" w:eastAsia="Times New Roman" w:hAnsi="Arial" w:cs="Arial"/>
                <w:bCs/>
                <w:lang w:eastAsia="en-GB"/>
              </w:rPr>
              <w:t>635</w:t>
            </w:r>
          </w:p>
        </w:tc>
      </w:tr>
      <w:tr w:rsidR="00535C6E" w:rsidRPr="003D47A1" w:rsidTr="003D47A1">
        <w:tc>
          <w:tcPr>
            <w:tcW w:w="5310" w:type="dxa"/>
            <w:tcBorders>
              <w:top w:val="nil"/>
              <w:left w:val="nil"/>
              <w:bottom w:val="nil"/>
              <w:right w:val="nil"/>
            </w:tcBorders>
            <w:shd w:val="clear" w:color="auto" w:fill="D9E2F3"/>
            <w:hideMark/>
          </w:tcPr>
          <w:p w:rsidR="00535C6E" w:rsidRPr="003D47A1" w:rsidRDefault="00535C6E" w:rsidP="003D47A1">
            <w:pPr>
              <w:spacing w:after="0" w:line="276" w:lineRule="auto"/>
              <w:textAlignment w:val="baseline"/>
              <w:rPr>
                <w:rFonts w:ascii="Arial" w:eastAsia="Times New Roman" w:hAnsi="Arial" w:cs="Arial"/>
                <w:b/>
                <w:bCs/>
                <w:sz w:val="18"/>
                <w:szCs w:val="18"/>
                <w:lang w:eastAsia="en-GB"/>
              </w:rPr>
            </w:pPr>
            <w:r w:rsidRPr="003D47A1">
              <w:rPr>
                <w:rFonts w:ascii="Arial" w:eastAsia="Times New Roman" w:hAnsi="Arial" w:cs="Arial"/>
                <w:lang w:eastAsia="en-GB"/>
              </w:rPr>
              <w:t>Open competition in defence procurement (%)</w:t>
            </w:r>
          </w:p>
        </w:tc>
        <w:tc>
          <w:tcPr>
            <w:tcW w:w="3870" w:type="dxa"/>
            <w:tcBorders>
              <w:top w:val="nil"/>
              <w:left w:val="nil"/>
              <w:bottom w:val="nil"/>
              <w:right w:val="nil"/>
            </w:tcBorders>
            <w:shd w:val="clear" w:color="auto" w:fill="D9E2F3"/>
            <w:hideMark/>
          </w:tcPr>
          <w:p w:rsidR="00535C6E" w:rsidRPr="003D47A1" w:rsidRDefault="00D66CDF" w:rsidP="003D47A1">
            <w:pPr>
              <w:spacing w:after="0" w:line="276" w:lineRule="auto"/>
              <w:textAlignment w:val="baseline"/>
              <w:rPr>
                <w:rFonts w:ascii="Arial" w:eastAsia="Times New Roman" w:hAnsi="Arial" w:cs="Arial"/>
                <w:lang w:eastAsia="en-GB"/>
              </w:rPr>
            </w:pPr>
            <w:r w:rsidRPr="003D47A1">
              <w:rPr>
                <w:rFonts w:ascii="Arial" w:eastAsia="Times New Roman" w:hAnsi="Arial" w:cs="Arial"/>
                <w:lang w:eastAsia="en-GB"/>
              </w:rPr>
              <w:t>Exact data not publicly available.</w:t>
            </w:r>
          </w:p>
        </w:tc>
      </w:tr>
      <w:tr w:rsidR="00535C6E" w:rsidRPr="003D47A1" w:rsidTr="003D47A1">
        <w:tc>
          <w:tcPr>
            <w:tcW w:w="5310" w:type="dxa"/>
            <w:tcBorders>
              <w:top w:val="nil"/>
              <w:left w:val="nil"/>
              <w:bottom w:val="nil"/>
              <w:right w:val="nil"/>
            </w:tcBorders>
            <w:shd w:val="clear" w:color="auto" w:fill="auto"/>
            <w:hideMark/>
          </w:tcPr>
          <w:p w:rsidR="00535C6E" w:rsidRPr="003D47A1" w:rsidRDefault="00535C6E" w:rsidP="003D47A1">
            <w:pPr>
              <w:spacing w:after="0" w:line="276" w:lineRule="auto"/>
              <w:textAlignment w:val="baseline"/>
              <w:rPr>
                <w:rFonts w:ascii="Arial" w:eastAsia="Times New Roman" w:hAnsi="Arial" w:cs="Arial"/>
                <w:b/>
                <w:bCs/>
                <w:sz w:val="18"/>
                <w:szCs w:val="18"/>
                <w:lang w:eastAsia="en-GB"/>
              </w:rPr>
            </w:pPr>
            <w:r w:rsidRPr="003D47A1">
              <w:rPr>
                <w:rFonts w:ascii="Arial" w:eastAsia="Times New Roman" w:hAnsi="Arial" w:cs="Arial"/>
                <w:lang w:eastAsia="en-GB"/>
              </w:rPr>
              <w:t>Main defence exports – to (SIPRI, 2016-20)</w:t>
            </w:r>
          </w:p>
        </w:tc>
        <w:tc>
          <w:tcPr>
            <w:tcW w:w="3870" w:type="dxa"/>
            <w:tcBorders>
              <w:top w:val="nil"/>
              <w:left w:val="nil"/>
              <w:bottom w:val="nil"/>
              <w:right w:val="nil"/>
            </w:tcBorders>
            <w:shd w:val="clear" w:color="auto" w:fill="auto"/>
            <w:hideMark/>
          </w:tcPr>
          <w:p w:rsidR="00535C6E" w:rsidRPr="003D47A1" w:rsidRDefault="00535C6E" w:rsidP="003D47A1">
            <w:pPr>
              <w:spacing w:after="0" w:line="276" w:lineRule="auto"/>
              <w:textAlignment w:val="baseline"/>
              <w:rPr>
                <w:rFonts w:ascii="Arial" w:eastAsia="Times New Roman" w:hAnsi="Arial" w:cs="Arial"/>
                <w:sz w:val="18"/>
                <w:szCs w:val="18"/>
                <w:lang w:eastAsia="en-GB"/>
              </w:rPr>
            </w:pPr>
            <w:r w:rsidRPr="003D47A1">
              <w:rPr>
                <w:rFonts w:ascii="Arial" w:eastAsia="Times New Roman" w:hAnsi="Arial" w:cs="Arial"/>
                <w:sz w:val="18"/>
                <w:szCs w:val="18"/>
                <w:lang w:eastAsia="en-GB"/>
              </w:rPr>
              <w:t>N/A</w:t>
            </w:r>
          </w:p>
        </w:tc>
      </w:tr>
      <w:tr w:rsidR="00535C6E" w:rsidRPr="003D47A1" w:rsidTr="003D47A1">
        <w:trPr>
          <w:trHeight w:val="253"/>
        </w:trPr>
        <w:tc>
          <w:tcPr>
            <w:tcW w:w="5310" w:type="dxa"/>
            <w:tcBorders>
              <w:top w:val="nil"/>
              <w:left w:val="nil"/>
              <w:bottom w:val="nil"/>
              <w:right w:val="nil"/>
            </w:tcBorders>
            <w:shd w:val="clear" w:color="auto" w:fill="D9E2F3"/>
            <w:hideMark/>
          </w:tcPr>
          <w:p w:rsidR="00535C6E" w:rsidRPr="003D47A1" w:rsidRDefault="00535C6E" w:rsidP="003D47A1">
            <w:pPr>
              <w:spacing w:after="0" w:line="276" w:lineRule="auto"/>
              <w:textAlignment w:val="baseline"/>
              <w:rPr>
                <w:rFonts w:ascii="Arial" w:eastAsia="Times New Roman" w:hAnsi="Arial" w:cs="Arial"/>
                <w:b/>
                <w:bCs/>
                <w:sz w:val="18"/>
                <w:szCs w:val="18"/>
                <w:lang w:eastAsia="en-GB"/>
              </w:rPr>
            </w:pPr>
            <w:r w:rsidRPr="003D47A1">
              <w:rPr>
                <w:rFonts w:ascii="Arial" w:eastAsia="Times New Roman" w:hAnsi="Arial" w:cs="Arial"/>
                <w:lang w:eastAsia="en-GB"/>
              </w:rPr>
              <w:t>Main defence imports – from (SIPRI, 2016-20)</w:t>
            </w:r>
          </w:p>
        </w:tc>
        <w:tc>
          <w:tcPr>
            <w:tcW w:w="3870" w:type="dxa"/>
            <w:tcBorders>
              <w:top w:val="nil"/>
              <w:left w:val="nil"/>
              <w:bottom w:val="nil"/>
              <w:right w:val="nil"/>
            </w:tcBorders>
            <w:shd w:val="clear" w:color="auto" w:fill="D9E2F3"/>
            <w:hideMark/>
          </w:tcPr>
          <w:p w:rsidR="00535C6E" w:rsidRPr="003D47A1" w:rsidRDefault="00535C6E" w:rsidP="003D47A1">
            <w:pPr>
              <w:spacing w:after="0" w:line="276" w:lineRule="auto"/>
              <w:textAlignment w:val="baseline"/>
              <w:rPr>
                <w:rFonts w:ascii="Arial" w:eastAsia="Times New Roman" w:hAnsi="Arial" w:cs="Arial"/>
                <w:lang w:eastAsia="en-GB"/>
              </w:rPr>
            </w:pPr>
            <w:r w:rsidRPr="003D47A1">
              <w:rPr>
                <w:rFonts w:ascii="Arial" w:eastAsia="Times New Roman" w:hAnsi="Arial" w:cs="Arial"/>
                <w:lang w:eastAsia="en-GB"/>
              </w:rPr>
              <w:t>Russia, Jordan</w:t>
            </w:r>
          </w:p>
        </w:tc>
      </w:tr>
    </w:tbl>
    <w:bookmarkEnd w:id="5"/>
    <w:p w:rsidR="00535C6E" w:rsidRPr="003D47A1" w:rsidRDefault="00535C6E" w:rsidP="003D47A1">
      <w:pPr>
        <w:spacing w:before="240" w:line="276" w:lineRule="auto"/>
        <w:rPr>
          <w:rFonts w:ascii="Arial" w:hAnsi="Arial" w:cs="Arial"/>
        </w:rPr>
      </w:pPr>
      <w:r w:rsidRPr="003D47A1">
        <w:rPr>
          <w:rFonts w:ascii="Arial" w:hAnsi="Arial" w:cs="Arial"/>
        </w:rPr>
        <w:t>Before 2020 there was a steep and rapid increase in Armenia’s military expenditure, from 3.9% of GDP in 2014, to 4.9% in 2019.</w:t>
      </w:r>
      <w:r w:rsidRPr="003D47A1">
        <w:rPr>
          <w:rStyle w:val="FootnoteReference"/>
          <w:rFonts w:ascii="Arial" w:hAnsi="Arial" w:cs="Arial"/>
        </w:rPr>
        <w:footnoteReference w:id="36"/>
      </w:r>
      <w:r w:rsidRPr="003D47A1">
        <w:rPr>
          <w:rFonts w:ascii="Arial" w:hAnsi="Arial" w:cs="Arial"/>
        </w:rPr>
        <w:t xml:space="preserve"> The increase has been driven by mounting tensions with Azerbaijan and its intensive armament, increasingly poor relations with Turkey and a new defence strategy that favours deterrence over deep defence.</w:t>
      </w:r>
      <w:r w:rsidRPr="003D47A1">
        <w:rPr>
          <w:rStyle w:val="FootnoteReference"/>
          <w:rFonts w:ascii="Arial" w:hAnsi="Arial" w:cs="Arial"/>
        </w:rPr>
        <w:footnoteReference w:id="37"/>
      </w:r>
      <w:r w:rsidRPr="003D47A1">
        <w:rPr>
          <w:rFonts w:ascii="Arial" w:hAnsi="Arial" w:cs="Arial"/>
        </w:rPr>
        <w:t xml:space="preserve"> This shift has fuelled a significant procurement drive, including large contracts with Russia for sophisticated military hardware.</w:t>
      </w:r>
      <w:r w:rsidRPr="003D47A1">
        <w:rPr>
          <w:rStyle w:val="FootnoteReference"/>
          <w:rFonts w:ascii="Arial" w:hAnsi="Arial" w:cs="Arial"/>
        </w:rPr>
        <w:footnoteReference w:id="38"/>
      </w:r>
      <w:r w:rsidRPr="003D47A1">
        <w:rPr>
          <w:rFonts w:ascii="Arial" w:hAnsi="Arial" w:cs="Arial"/>
        </w:rPr>
        <w:t xml:space="preserve"> As a result of this drive, in 2018, 21% of government spending was directed towards the military.</w:t>
      </w:r>
      <w:r w:rsidRPr="003D47A1">
        <w:rPr>
          <w:rStyle w:val="FootnoteReference"/>
          <w:rFonts w:ascii="Arial" w:hAnsi="Arial" w:cs="Arial"/>
        </w:rPr>
        <w:footnoteReference w:id="39"/>
      </w:r>
      <w:r w:rsidRPr="003D47A1">
        <w:rPr>
          <w:rFonts w:ascii="Arial" w:hAnsi="Arial" w:cs="Arial"/>
        </w:rPr>
        <w:t xml:space="preserve"> </w:t>
      </w:r>
      <w:r w:rsidR="00D66CDF" w:rsidRPr="003D47A1">
        <w:rPr>
          <w:rFonts w:ascii="Arial" w:hAnsi="Arial" w:cs="Arial"/>
        </w:rPr>
        <w:t xml:space="preserve"> </w:t>
      </w:r>
      <w:r w:rsidRPr="003D47A1">
        <w:rPr>
          <w:rFonts w:ascii="Arial" w:hAnsi="Arial" w:cs="Arial"/>
        </w:rPr>
        <w:t xml:space="preserve">This increase in the volume of defence procurement, however, comes at a risk. Armenia’s current oversight and management framework exposes the procurement process to considerable corruption risk. </w:t>
      </w:r>
      <w:r w:rsidR="00D66CDF" w:rsidRPr="003D47A1">
        <w:rPr>
          <w:rFonts w:ascii="Arial" w:hAnsi="Arial" w:cs="Arial"/>
        </w:rPr>
        <w:t>For instance, t</w:t>
      </w:r>
      <w:r w:rsidRPr="003D47A1">
        <w:rPr>
          <w:rFonts w:ascii="Arial" w:hAnsi="Arial" w:cs="Arial"/>
        </w:rPr>
        <w:t>here is no clear process of acquisition planning that also involves external oversight or explicitly ties particular purchases to the National Security Strategy,</w:t>
      </w:r>
      <w:r w:rsidR="00D66CDF" w:rsidRPr="003D47A1">
        <w:rPr>
          <w:rStyle w:val="FootnoteReference"/>
          <w:rFonts w:ascii="Arial" w:hAnsi="Arial" w:cs="Arial"/>
        </w:rPr>
        <w:footnoteReference w:id="40"/>
      </w:r>
      <w:r w:rsidRPr="003D47A1">
        <w:rPr>
          <w:rFonts w:ascii="Arial" w:hAnsi="Arial" w:cs="Arial"/>
        </w:rPr>
        <w:t xml:space="preserve"> </w:t>
      </w:r>
      <w:r w:rsidR="00E049A9" w:rsidRPr="003D47A1">
        <w:rPr>
          <w:rFonts w:ascii="Arial" w:hAnsi="Arial" w:cs="Arial"/>
        </w:rPr>
        <w:t xml:space="preserve">which </w:t>
      </w:r>
      <w:r w:rsidRPr="003D47A1">
        <w:rPr>
          <w:rFonts w:ascii="Arial" w:hAnsi="Arial" w:cs="Arial"/>
        </w:rPr>
        <w:t>obscur</w:t>
      </w:r>
      <w:r w:rsidR="00E049A9" w:rsidRPr="003D47A1">
        <w:rPr>
          <w:rFonts w:ascii="Arial" w:hAnsi="Arial" w:cs="Arial"/>
        </w:rPr>
        <w:t>es</w:t>
      </w:r>
      <w:r w:rsidRPr="003D47A1">
        <w:rPr>
          <w:rFonts w:ascii="Arial" w:hAnsi="Arial" w:cs="Arial"/>
        </w:rPr>
        <w:t xml:space="preserve"> the rationale for the selection of procurement priorities and for specific choices. </w:t>
      </w:r>
      <w:r w:rsidR="00E049A9" w:rsidRPr="003D47A1">
        <w:rPr>
          <w:rFonts w:ascii="Arial" w:hAnsi="Arial" w:cs="Arial"/>
        </w:rPr>
        <w:t>While</w:t>
      </w:r>
      <w:r w:rsidR="009E5DC8" w:rsidRPr="003D47A1">
        <w:rPr>
          <w:rFonts w:ascii="Arial" w:hAnsi="Arial" w:cs="Arial"/>
        </w:rPr>
        <w:t xml:space="preserve"> the procurement of civilian-use goods is done through electronic portals, the majority of weapons procurement and military hardware acquisitions are classified, meaning they are not subject to publication</w:t>
      </w:r>
      <w:r w:rsidR="00E049A9" w:rsidRPr="003D47A1">
        <w:rPr>
          <w:rFonts w:ascii="Arial" w:hAnsi="Arial" w:cs="Arial"/>
        </w:rPr>
        <w:t xml:space="preserve">, </w:t>
      </w:r>
      <w:r w:rsidR="009E5DC8" w:rsidRPr="003D47A1">
        <w:rPr>
          <w:rFonts w:ascii="Arial" w:hAnsi="Arial" w:cs="Arial"/>
        </w:rPr>
        <w:t>and complete information on the tender and contract terms are not made publicly available.</w:t>
      </w:r>
      <w:r w:rsidRPr="003D47A1">
        <w:rPr>
          <w:rFonts w:ascii="Arial" w:hAnsi="Arial" w:cs="Arial"/>
        </w:rPr>
        <w:t xml:space="preserve"> Oversight of procurement procedures is further limited by secrecy clauses that restrict public oversight. The Audit Chamber has the power to monitor all defence procurement procedures; however, its reports related to the defence sector are not always publicly available and often are shared only in a summarised form.</w:t>
      </w:r>
      <w:r w:rsidRPr="003D47A1">
        <w:rPr>
          <w:rStyle w:val="FootnoteReference"/>
          <w:rFonts w:ascii="Arial" w:hAnsi="Arial" w:cs="Arial"/>
        </w:rPr>
        <w:footnoteReference w:id="41"/>
      </w:r>
      <w:r w:rsidRPr="003D47A1">
        <w:rPr>
          <w:rFonts w:ascii="Arial" w:hAnsi="Arial" w:cs="Arial"/>
        </w:rPr>
        <w:t xml:space="preserve"> </w:t>
      </w:r>
      <w:r w:rsidR="00D66CDF" w:rsidRPr="003D47A1">
        <w:rPr>
          <w:rFonts w:ascii="Arial" w:hAnsi="Arial" w:cs="Arial"/>
        </w:rPr>
        <w:t xml:space="preserve">Its cooperation with </w:t>
      </w:r>
      <w:r w:rsidR="00E049A9" w:rsidRPr="003D47A1">
        <w:rPr>
          <w:rFonts w:ascii="Arial" w:hAnsi="Arial" w:cs="Arial"/>
        </w:rPr>
        <w:t>P</w:t>
      </w:r>
      <w:r w:rsidR="00D66CDF" w:rsidRPr="003D47A1">
        <w:rPr>
          <w:rFonts w:ascii="Arial" w:hAnsi="Arial" w:cs="Arial"/>
        </w:rPr>
        <w:t xml:space="preserve">arliament on defence issues is also limited, resulting in a loss of valuable information for both oversight bodies. </w:t>
      </w:r>
    </w:p>
    <w:sectPr w:rsidR="00535C6E" w:rsidRPr="003D47A1" w:rsidSect="003D47A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AA" w:rsidRDefault="00D212AA" w:rsidP="004C6367">
      <w:pPr>
        <w:spacing w:after="0" w:line="240" w:lineRule="auto"/>
      </w:pPr>
      <w:r>
        <w:separator/>
      </w:r>
    </w:p>
  </w:endnote>
  <w:endnote w:type="continuationSeparator" w:id="0">
    <w:p w:rsidR="00D212AA" w:rsidRDefault="00D212AA" w:rsidP="004C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E8" w:rsidRDefault="00055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369605"/>
      <w:docPartObj>
        <w:docPartGallery w:val="Page Numbers (Bottom of Page)"/>
        <w:docPartUnique/>
      </w:docPartObj>
    </w:sdtPr>
    <w:sdtEndPr>
      <w:rPr>
        <w:noProof/>
      </w:rPr>
    </w:sdtEndPr>
    <w:sdtContent>
      <w:p w:rsidR="00C947F0" w:rsidRDefault="00C947F0">
        <w:pPr>
          <w:pStyle w:val="Footer"/>
          <w:jc w:val="center"/>
        </w:pPr>
      </w:p>
      <w:p w:rsidR="00AB706D" w:rsidRDefault="00AB706D" w:rsidP="00C947F0">
        <w:pPr>
          <w:pStyle w:val="Footer"/>
          <w:jc w:val="center"/>
        </w:pPr>
        <w:r>
          <w:fldChar w:fldCharType="begin"/>
        </w:r>
        <w:r>
          <w:instrText xml:space="preserve"> PAGE   \* MERGEFORMAT </w:instrText>
        </w:r>
        <w:r>
          <w:fldChar w:fldCharType="separate"/>
        </w:r>
        <w:r w:rsidR="000555E8">
          <w:rPr>
            <w:noProof/>
          </w:rPr>
          <w:t>4</w:t>
        </w:r>
        <w:r>
          <w:rPr>
            <w:noProof/>
          </w:rPr>
          <w:fldChar w:fldCharType="end"/>
        </w:r>
      </w:p>
    </w:sdtContent>
  </w:sdt>
  <w:p w:rsidR="00AB706D" w:rsidRDefault="00AB70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E8" w:rsidRDefault="0005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AA" w:rsidRDefault="00D212AA" w:rsidP="004C6367">
      <w:pPr>
        <w:spacing w:after="0" w:line="240" w:lineRule="auto"/>
      </w:pPr>
      <w:r>
        <w:separator/>
      </w:r>
    </w:p>
  </w:footnote>
  <w:footnote w:type="continuationSeparator" w:id="0">
    <w:p w:rsidR="00D212AA" w:rsidRDefault="00D212AA" w:rsidP="004C6367">
      <w:pPr>
        <w:spacing w:after="0" w:line="240" w:lineRule="auto"/>
      </w:pPr>
      <w:r>
        <w:continuationSeparator/>
      </w:r>
    </w:p>
  </w:footnote>
  <w:footnote w:id="1">
    <w:p w:rsidR="00807399" w:rsidRPr="00AB706D" w:rsidRDefault="00807399" w:rsidP="00807399">
      <w:pPr>
        <w:pStyle w:val="FootnoteText"/>
        <w:rPr>
          <w:sz w:val="16"/>
          <w:szCs w:val="16"/>
        </w:rPr>
      </w:pPr>
      <w:r w:rsidRPr="00AB706D">
        <w:rPr>
          <w:rStyle w:val="FootnoteReference"/>
          <w:sz w:val="16"/>
          <w:szCs w:val="16"/>
        </w:rPr>
        <w:footnoteRef/>
      </w:r>
      <w:r w:rsidRPr="00AB706D">
        <w:rPr>
          <w:sz w:val="16"/>
          <w:szCs w:val="16"/>
        </w:rPr>
        <w:t xml:space="preserve"> Freedom House, </w:t>
      </w:r>
      <w:r w:rsidRPr="00AB706D">
        <w:rPr>
          <w:i/>
          <w:sz w:val="16"/>
          <w:szCs w:val="16"/>
        </w:rPr>
        <w:t>Nations in Transit: Dropping the Democratic Façade</w:t>
      </w:r>
      <w:r w:rsidRPr="00AB706D">
        <w:rPr>
          <w:sz w:val="16"/>
          <w:szCs w:val="16"/>
        </w:rPr>
        <w:t>, Freedom Ho</w:t>
      </w:r>
      <w:r>
        <w:rPr>
          <w:sz w:val="16"/>
          <w:szCs w:val="16"/>
        </w:rPr>
        <w:t>use, Washington DC, 2019, p. 15</w:t>
      </w:r>
      <w:r w:rsidRPr="00AB706D">
        <w:rPr>
          <w:sz w:val="16"/>
          <w:szCs w:val="16"/>
        </w:rPr>
        <w:t>.</w:t>
      </w:r>
    </w:p>
  </w:footnote>
  <w:footnote w:id="2">
    <w:p w:rsidR="00E93ED6" w:rsidRPr="00AB706D" w:rsidRDefault="004C6367" w:rsidP="00E93ED6">
      <w:pPr>
        <w:pStyle w:val="FootnoteText"/>
        <w:rPr>
          <w:sz w:val="16"/>
          <w:szCs w:val="16"/>
        </w:rPr>
      </w:pPr>
      <w:r w:rsidRPr="00AB706D">
        <w:rPr>
          <w:rStyle w:val="FootnoteReference"/>
          <w:sz w:val="16"/>
          <w:szCs w:val="16"/>
        </w:rPr>
        <w:footnoteRef/>
      </w:r>
      <w:r w:rsidRPr="00AB706D">
        <w:rPr>
          <w:sz w:val="16"/>
          <w:szCs w:val="16"/>
        </w:rPr>
        <w:t xml:space="preserve"> Miriam Lanskoy &amp; Elspeth Suthers, ‘Armenia’s Velvet Revolution’, </w:t>
      </w:r>
      <w:r w:rsidRPr="00AB706D">
        <w:rPr>
          <w:i/>
          <w:sz w:val="16"/>
          <w:szCs w:val="16"/>
        </w:rPr>
        <w:t>Journal of Open Democracy</w:t>
      </w:r>
      <w:r w:rsidR="00393FD3" w:rsidRPr="00AB706D">
        <w:rPr>
          <w:sz w:val="16"/>
          <w:szCs w:val="16"/>
        </w:rPr>
        <w:t>, vol 30(2), 2019, pp. 85-99</w:t>
      </w:r>
      <w:r w:rsidR="00E93ED6" w:rsidRPr="00AB706D">
        <w:rPr>
          <w:sz w:val="16"/>
          <w:szCs w:val="16"/>
        </w:rPr>
        <w:t xml:space="preserve">; </w:t>
      </w:r>
      <w:r w:rsidR="00E93ED6" w:rsidRPr="00AB706D">
        <w:rPr>
          <w:rStyle w:val="FootnoteReference"/>
          <w:sz w:val="16"/>
          <w:szCs w:val="16"/>
        </w:rPr>
        <w:footnoteRef/>
      </w:r>
      <w:r w:rsidR="00E93ED6" w:rsidRPr="00AB706D">
        <w:rPr>
          <w:sz w:val="16"/>
          <w:szCs w:val="16"/>
        </w:rPr>
        <w:t xml:space="preserve"> International Crisis Group, ‘Digging out of Deadlock in Nagorno-Karabakh’, </w:t>
      </w:r>
      <w:r w:rsidR="00E93ED6" w:rsidRPr="00AB706D">
        <w:rPr>
          <w:i/>
          <w:sz w:val="16"/>
          <w:szCs w:val="16"/>
        </w:rPr>
        <w:t>ICG</w:t>
      </w:r>
      <w:r w:rsidR="00807399">
        <w:rPr>
          <w:sz w:val="16"/>
          <w:szCs w:val="16"/>
        </w:rPr>
        <w:t>, Report 255, 20 December 2019.</w:t>
      </w:r>
    </w:p>
    <w:p w:rsidR="004C6367" w:rsidRPr="00AB706D" w:rsidRDefault="00E93ED6" w:rsidP="004C6367">
      <w:pPr>
        <w:pStyle w:val="FootnoteText"/>
        <w:rPr>
          <w:sz w:val="16"/>
          <w:szCs w:val="16"/>
        </w:rPr>
      </w:pPr>
      <w:r w:rsidRPr="00AB706D">
        <w:rPr>
          <w:rStyle w:val="FootnoteReference"/>
          <w:sz w:val="16"/>
          <w:szCs w:val="16"/>
        </w:rPr>
        <w:footnoteRef/>
      </w:r>
      <w:r w:rsidRPr="00AB706D">
        <w:rPr>
          <w:sz w:val="16"/>
          <w:szCs w:val="16"/>
        </w:rPr>
        <w:t xml:space="preserve"> International Crisis Group, ‘Preventing a Bloody Harvest on the Armenia-Azerbaijan State Border’, </w:t>
      </w:r>
      <w:r w:rsidRPr="00AB706D">
        <w:rPr>
          <w:i/>
          <w:sz w:val="16"/>
          <w:szCs w:val="16"/>
        </w:rPr>
        <w:t>ICG</w:t>
      </w:r>
      <w:r w:rsidR="00807399">
        <w:rPr>
          <w:sz w:val="16"/>
          <w:szCs w:val="16"/>
        </w:rPr>
        <w:t>, Report 259, 24 July 2020</w:t>
      </w:r>
      <w:r w:rsidRPr="00AB706D">
        <w:rPr>
          <w:sz w:val="16"/>
          <w:szCs w:val="16"/>
        </w:rPr>
        <w:t>.</w:t>
      </w:r>
    </w:p>
  </w:footnote>
  <w:footnote w:id="3">
    <w:p w:rsidR="00807399" w:rsidRPr="00807399" w:rsidRDefault="00807399">
      <w:pPr>
        <w:pStyle w:val="FootnoteText"/>
      </w:pPr>
      <w:r w:rsidRPr="00807399">
        <w:rPr>
          <w:rStyle w:val="FootnoteReference"/>
          <w:sz w:val="16"/>
        </w:rPr>
        <w:footnoteRef/>
      </w:r>
      <w:r w:rsidRPr="00807399">
        <w:rPr>
          <w:sz w:val="16"/>
        </w:rPr>
        <w:t xml:space="preserve"> Christian Marmo, ‘No More Velvet: Armenia’s PM Nikol Pahinyan Promises a ‘Steel’ Revolution’, </w:t>
      </w:r>
      <w:r w:rsidRPr="00807399">
        <w:rPr>
          <w:i/>
          <w:sz w:val="16"/>
        </w:rPr>
        <w:t>Emerging Europe</w:t>
      </w:r>
      <w:r w:rsidRPr="00807399">
        <w:rPr>
          <w:sz w:val="16"/>
        </w:rPr>
        <w:t>, 25 June 2021.</w:t>
      </w:r>
    </w:p>
  </w:footnote>
  <w:footnote w:id="4">
    <w:p w:rsidR="00807399" w:rsidRPr="00807399" w:rsidRDefault="00807399">
      <w:pPr>
        <w:pStyle w:val="FootnoteText"/>
      </w:pPr>
      <w:r w:rsidRPr="00807399">
        <w:rPr>
          <w:rStyle w:val="FootnoteReference"/>
          <w:sz w:val="16"/>
        </w:rPr>
        <w:footnoteRef/>
      </w:r>
      <w:r w:rsidRPr="00807399">
        <w:rPr>
          <w:sz w:val="16"/>
        </w:rPr>
        <w:t xml:space="preserve"> Neil Hauser, ‘Armenia is Still Grieving’, </w:t>
      </w:r>
      <w:r w:rsidRPr="00807399">
        <w:rPr>
          <w:i/>
          <w:sz w:val="16"/>
        </w:rPr>
        <w:t>Foreign Policy</w:t>
      </w:r>
      <w:r w:rsidRPr="00807399">
        <w:rPr>
          <w:sz w:val="16"/>
        </w:rPr>
        <w:t>, 24 April 2021.</w:t>
      </w:r>
    </w:p>
  </w:footnote>
  <w:footnote w:id="5">
    <w:p w:rsidR="00A361CD" w:rsidRPr="00C3010A" w:rsidRDefault="00A361CD" w:rsidP="00A361CD">
      <w:pPr>
        <w:pStyle w:val="FootnoteText"/>
        <w:rPr>
          <w:sz w:val="16"/>
          <w:szCs w:val="16"/>
        </w:rPr>
      </w:pPr>
      <w:r w:rsidRPr="00C3010A">
        <w:rPr>
          <w:rStyle w:val="FootnoteReference"/>
          <w:sz w:val="16"/>
          <w:szCs w:val="16"/>
        </w:rPr>
        <w:footnoteRef/>
      </w:r>
      <w:r w:rsidRPr="00C3010A">
        <w:rPr>
          <w:sz w:val="16"/>
          <w:szCs w:val="16"/>
        </w:rPr>
        <w:t xml:space="preserve"> Shaan Shaigh &amp; Wes Rumbaugh, The Air and Missile War in Nagorno-Karabakh: Lessons for the Future of Strike and</w:t>
      </w:r>
      <w:r w:rsidR="00807399">
        <w:rPr>
          <w:sz w:val="16"/>
          <w:szCs w:val="16"/>
        </w:rPr>
        <w:t xml:space="preserve"> Defense’ CSIS, 8 December 2020</w:t>
      </w:r>
      <w:r w:rsidRPr="00C3010A">
        <w:rPr>
          <w:sz w:val="16"/>
          <w:szCs w:val="16"/>
        </w:rPr>
        <w:t>; ‘ Alexander Stronell, ‘Learning the lessons of Nagorno-Karabakh the Rus</w:t>
      </w:r>
      <w:r w:rsidR="00807399">
        <w:rPr>
          <w:sz w:val="16"/>
          <w:szCs w:val="16"/>
        </w:rPr>
        <w:t>sian way’, IISS, 10 March 2021.</w:t>
      </w:r>
    </w:p>
  </w:footnote>
  <w:footnote w:id="6">
    <w:p w:rsidR="00807399" w:rsidRDefault="00807399" w:rsidP="00807399">
      <w:pPr>
        <w:pStyle w:val="FootnoteText"/>
      </w:pPr>
      <w:r w:rsidRPr="00C920BF">
        <w:rPr>
          <w:rStyle w:val="FootnoteReference"/>
          <w:sz w:val="16"/>
        </w:rPr>
        <w:footnoteRef/>
      </w:r>
      <w:r w:rsidRPr="00C920BF">
        <w:rPr>
          <w:sz w:val="16"/>
        </w:rPr>
        <w:t xml:space="preserve"> </w:t>
      </w:r>
      <w:r>
        <w:rPr>
          <w:sz w:val="16"/>
        </w:rPr>
        <w:t>National Assembly of the Republic of Armenia, ‘Standing Committee on Defence, National Security a</w:t>
      </w:r>
      <w:r w:rsidR="00FE7A22">
        <w:rPr>
          <w:sz w:val="16"/>
        </w:rPr>
        <w:t>nd Internal Affairs – Members’</w:t>
      </w:r>
    </w:p>
  </w:footnote>
  <w:footnote w:id="7">
    <w:p w:rsidR="00807399" w:rsidRPr="003D72B4" w:rsidRDefault="00807399" w:rsidP="00807399">
      <w:pPr>
        <w:pStyle w:val="FootnoteText"/>
        <w:rPr>
          <w:sz w:val="16"/>
        </w:rPr>
      </w:pPr>
      <w:r w:rsidRPr="003D72B4">
        <w:rPr>
          <w:rStyle w:val="FootnoteReference"/>
          <w:sz w:val="16"/>
        </w:rPr>
        <w:footnoteRef/>
      </w:r>
      <w:r w:rsidRPr="003D72B4">
        <w:rPr>
          <w:sz w:val="16"/>
        </w:rPr>
        <w:t xml:space="preserve"> </w:t>
      </w:r>
      <w:r>
        <w:rPr>
          <w:sz w:val="16"/>
        </w:rPr>
        <w:t xml:space="preserve">Vahram Ter-Matevosyan, ‘Armenia’s New National Security Strategy: Sharing First Impressions’, </w:t>
      </w:r>
      <w:r>
        <w:rPr>
          <w:i/>
          <w:sz w:val="16"/>
        </w:rPr>
        <w:t>EVN Report</w:t>
      </w:r>
      <w:r w:rsidR="00FE7A22">
        <w:rPr>
          <w:sz w:val="16"/>
        </w:rPr>
        <w:t>, 23 July 2020.</w:t>
      </w:r>
    </w:p>
  </w:footnote>
  <w:footnote w:id="8">
    <w:p w:rsidR="004C6367" w:rsidRPr="00AB706D" w:rsidRDefault="004C6367" w:rsidP="00393FD3">
      <w:pPr>
        <w:pStyle w:val="FootnoteText"/>
        <w:rPr>
          <w:sz w:val="16"/>
          <w:szCs w:val="16"/>
        </w:rPr>
      </w:pPr>
      <w:r w:rsidRPr="00AB706D">
        <w:rPr>
          <w:rStyle w:val="FootnoteReference"/>
          <w:sz w:val="16"/>
          <w:szCs w:val="16"/>
        </w:rPr>
        <w:footnoteRef/>
      </w:r>
      <w:r w:rsidRPr="00AB706D">
        <w:rPr>
          <w:sz w:val="16"/>
          <w:szCs w:val="16"/>
        </w:rPr>
        <w:t xml:space="preserve"> </w:t>
      </w:r>
      <w:r w:rsidR="00393FD3" w:rsidRPr="00AB706D">
        <w:rPr>
          <w:sz w:val="16"/>
          <w:szCs w:val="16"/>
        </w:rPr>
        <w:t xml:space="preserve">Ashot Khurshudyan, Marijn Zeger Van der Wal, Elkhan Mehdiyev, Tamar Pataraia, Shorena Lortkipanidze and David Sikharulidze, ‘Oversight of the Security Sector by Parliaments and Civil Society in the Caucasus: Cases of Armenia, Georgia and Azerbaijan’, </w:t>
      </w:r>
      <w:r w:rsidR="00393FD3" w:rsidRPr="00AB706D">
        <w:rPr>
          <w:i/>
          <w:sz w:val="16"/>
          <w:szCs w:val="16"/>
        </w:rPr>
        <w:t>Cascade Caucasus</w:t>
      </w:r>
      <w:r w:rsidR="00393FD3" w:rsidRPr="00AB706D">
        <w:rPr>
          <w:sz w:val="16"/>
          <w:szCs w:val="16"/>
        </w:rPr>
        <w:t>, S</w:t>
      </w:r>
      <w:r w:rsidR="00E75DB7">
        <w:rPr>
          <w:sz w:val="16"/>
          <w:szCs w:val="16"/>
        </w:rPr>
        <w:t>eptember 2016, p. 9</w:t>
      </w:r>
      <w:r w:rsidRPr="00AB706D">
        <w:rPr>
          <w:sz w:val="16"/>
          <w:szCs w:val="16"/>
        </w:rPr>
        <w:t>.</w:t>
      </w:r>
    </w:p>
  </w:footnote>
  <w:footnote w:id="9">
    <w:p w:rsidR="2FE3A9A4" w:rsidRPr="00AB706D" w:rsidRDefault="2FE3A9A4" w:rsidP="2FE3A9A4">
      <w:pPr>
        <w:pStyle w:val="FootnoteText"/>
        <w:rPr>
          <w:sz w:val="16"/>
          <w:szCs w:val="16"/>
        </w:rPr>
      </w:pPr>
      <w:r w:rsidRPr="00AB706D">
        <w:rPr>
          <w:rStyle w:val="FootnoteReference"/>
          <w:sz w:val="16"/>
          <w:szCs w:val="16"/>
        </w:rPr>
        <w:footnoteRef/>
      </w:r>
      <w:r w:rsidRPr="00AB706D">
        <w:rPr>
          <w:sz w:val="16"/>
          <w:szCs w:val="16"/>
        </w:rPr>
        <w:t xml:space="preserve"> </w:t>
      </w:r>
      <w:r w:rsidR="00393FD3" w:rsidRPr="00AB706D">
        <w:rPr>
          <w:sz w:val="16"/>
          <w:szCs w:val="16"/>
        </w:rPr>
        <w:t xml:space="preserve">Lanskoy &amp; Suthers, ‘Armenia’s Velvet Revolutions’. </w:t>
      </w:r>
    </w:p>
  </w:footnote>
  <w:footnote w:id="10">
    <w:p w:rsidR="00E75DB7" w:rsidRPr="00E75DB7" w:rsidRDefault="00E75DB7">
      <w:pPr>
        <w:pStyle w:val="FootnoteText"/>
      </w:pPr>
      <w:r w:rsidRPr="00E75DB7">
        <w:rPr>
          <w:rStyle w:val="FootnoteReference"/>
          <w:sz w:val="16"/>
        </w:rPr>
        <w:footnoteRef/>
      </w:r>
      <w:r w:rsidRPr="00E75DB7">
        <w:rPr>
          <w:sz w:val="16"/>
        </w:rPr>
        <w:t xml:space="preserve"> Republic of Armenia, </w:t>
      </w:r>
      <w:r w:rsidRPr="00E75DB7">
        <w:rPr>
          <w:i/>
          <w:sz w:val="16"/>
        </w:rPr>
        <w:t>Law on the Security Council's Formation and Activity</w:t>
      </w:r>
      <w:r w:rsidRPr="00E75DB7">
        <w:rPr>
          <w:sz w:val="16"/>
        </w:rPr>
        <w:t>, March 2018.</w:t>
      </w:r>
    </w:p>
  </w:footnote>
  <w:footnote w:id="11">
    <w:p w:rsidR="00E75DB7" w:rsidRDefault="00E75DB7">
      <w:pPr>
        <w:pStyle w:val="FootnoteText"/>
      </w:pPr>
      <w:r w:rsidRPr="00E75DB7">
        <w:rPr>
          <w:rStyle w:val="FootnoteReference"/>
          <w:sz w:val="16"/>
        </w:rPr>
        <w:footnoteRef/>
      </w:r>
      <w:r w:rsidRPr="00E75DB7">
        <w:rPr>
          <w:sz w:val="16"/>
        </w:rPr>
        <w:t xml:space="preserve"> Parliament of the Republic of Armenia, ‘Standing Committee on Defence and Security,’ 2019.</w:t>
      </w:r>
    </w:p>
  </w:footnote>
  <w:footnote w:id="12">
    <w:p w:rsidR="00D51D7A" w:rsidRPr="00AB706D" w:rsidRDefault="00D51D7A" w:rsidP="00D51D7A">
      <w:pPr>
        <w:pStyle w:val="FootnoteText"/>
        <w:rPr>
          <w:sz w:val="16"/>
          <w:szCs w:val="16"/>
        </w:rPr>
      </w:pPr>
      <w:r w:rsidRPr="00AB706D">
        <w:rPr>
          <w:rStyle w:val="FootnoteReference"/>
          <w:sz w:val="16"/>
          <w:szCs w:val="16"/>
        </w:rPr>
        <w:footnoteRef/>
      </w:r>
      <w:r w:rsidRPr="00AB706D">
        <w:rPr>
          <w:sz w:val="16"/>
          <w:szCs w:val="16"/>
        </w:rPr>
        <w:t xml:space="preserve"> Ani</w:t>
      </w:r>
      <w:r w:rsidR="00E75DB7">
        <w:rPr>
          <w:sz w:val="16"/>
          <w:szCs w:val="16"/>
        </w:rPr>
        <w:t xml:space="preserve"> Mejlumyan, ‘Armenia Begins Prob</w:t>
      </w:r>
      <w:r w:rsidRPr="00AB706D">
        <w:rPr>
          <w:sz w:val="16"/>
          <w:szCs w:val="16"/>
        </w:rPr>
        <w:t xml:space="preserve">e of 2016 War’, </w:t>
      </w:r>
      <w:r w:rsidRPr="00AB706D">
        <w:rPr>
          <w:i/>
          <w:sz w:val="16"/>
          <w:szCs w:val="16"/>
        </w:rPr>
        <w:t>Eurasianet</w:t>
      </w:r>
      <w:r w:rsidR="00E75DB7">
        <w:rPr>
          <w:sz w:val="16"/>
          <w:szCs w:val="16"/>
        </w:rPr>
        <w:t>, 14 June 2019.</w:t>
      </w:r>
    </w:p>
  </w:footnote>
  <w:footnote w:id="13">
    <w:p w:rsidR="00E75DB7" w:rsidRPr="00E75DB7" w:rsidRDefault="00E75DB7">
      <w:pPr>
        <w:pStyle w:val="FootnoteText"/>
      </w:pPr>
      <w:r w:rsidRPr="00E75DB7">
        <w:rPr>
          <w:rStyle w:val="FootnoteReference"/>
          <w:sz w:val="16"/>
        </w:rPr>
        <w:footnoteRef/>
      </w:r>
      <w:r w:rsidRPr="00E75DB7">
        <w:rPr>
          <w:sz w:val="16"/>
        </w:rPr>
        <w:t xml:space="preserve"> Republic of Armenia, </w:t>
      </w:r>
      <w:r w:rsidRPr="00E75DB7">
        <w:rPr>
          <w:i/>
          <w:sz w:val="16"/>
        </w:rPr>
        <w:t>Law on Procurement,</w:t>
      </w:r>
      <w:r w:rsidRPr="00E75DB7">
        <w:rPr>
          <w:sz w:val="16"/>
        </w:rPr>
        <w:t xml:space="preserve"> December 2016.</w:t>
      </w:r>
    </w:p>
  </w:footnote>
  <w:footnote w:id="14">
    <w:p w:rsidR="008450F4" w:rsidRPr="008450F4" w:rsidRDefault="008450F4">
      <w:pPr>
        <w:pStyle w:val="FootnoteText"/>
      </w:pPr>
      <w:r w:rsidRPr="008450F4">
        <w:rPr>
          <w:rStyle w:val="FootnoteReference"/>
          <w:sz w:val="16"/>
        </w:rPr>
        <w:footnoteRef/>
      </w:r>
      <w:r w:rsidRPr="008450F4">
        <w:rPr>
          <w:sz w:val="16"/>
        </w:rPr>
        <w:t xml:space="preserve"> Republic of Armenia, </w:t>
      </w:r>
      <w:r w:rsidRPr="008450F4">
        <w:rPr>
          <w:i/>
          <w:sz w:val="16"/>
        </w:rPr>
        <w:t>Law on the Audit Chamber</w:t>
      </w:r>
      <w:r w:rsidRPr="008450F4">
        <w:rPr>
          <w:sz w:val="16"/>
        </w:rPr>
        <w:t>, January 2018.</w:t>
      </w:r>
    </w:p>
  </w:footnote>
  <w:footnote w:id="15">
    <w:p w:rsidR="008450F4" w:rsidRPr="008450F4" w:rsidRDefault="008450F4">
      <w:pPr>
        <w:pStyle w:val="FootnoteText"/>
        <w:rPr>
          <w:sz w:val="16"/>
        </w:rPr>
      </w:pPr>
      <w:r w:rsidRPr="008450F4">
        <w:rPr>
          <w:rStyle w:val="FootnoteReference"/>
          <w:sz w:val="16"/>
        </w:rPr>
        <w:footnoteRef/>
      </w:r>
      <w:r w:rsidRPr="008450F4">
        <w:rPr>
          <w:sz w:val="16"/>
        </w:rPr>
        <w:t xml:space="preserve"> Audit Chamber, ‘Archives’.</w:t>
      </w:r>
    </w:p>
  </w:footnote>
  <w:footnote w:id="16">
    <w:p w:rsidR="002777A3" w:rsidRPr="002777A3" w:rsidRDefault="002777A3">
      <w:pPr>
        <w:pStyle w:val="FootnoteText"/>
      </w:pPr>
      <w:r w:rsidRPr="002777A3">
        <w:rPr>
          <w:rStyle w:val="FootnoteReference"/>
          <w:sz w:val="16"/>
        </w:rPr>
        <w:footnoteRef/>
      </w:r>
      <w:r w:rsidRPr="002777A3">
        <w:rPr>
          <w:sz w:val="16"/>
        </w:rPr>
        <w:t xml:space="preserve"> Bertelsmann Stiftung, </w:t>
      </w:r>
      <w:r w:rsidRPr="002777A3">
        <w:rPr>
          <w:i/>
          <w:sz w:val="16"/>
        </w:rPr>
        <w:t>BTI 2020 Country Report: Armenia</w:t>
      </w:r>
      <w:r w:rsidRPr="002777A3">
        <w:rPr>
          <w:sz w:val="16"/>
        </w:rPr>
        <w:t>, Gutersloh, Bertelsmann Stiftung, 2020, p. 28.</w:t>
      </w:r>
    </w:p>
  </w:footnote>
  <w:footnote w:id="17">
    <w:p w:rsidR="002777A3" w:rsidRPr="002777A3" w:rsidRDefault="002777A3">
      <w:pPr>
        <w:pStyle w:val="FootnoteText"/>
      </w:pPr>
      <w:r w:rsidRPr="002777A3">
        <w:rPr>
          <w:rStyle w:val="FootnoteReference"/>
          <w:sz w:val="16"/>
        </w:rPr>
        <w:footnoteRef/>
      </w:r>
      <w:r w:rsidRPr="002777A3">
        <w:rPr>
          <w:sz w:val="16"/>
        </w:rPr>
        <w:t xml:space="preserve"> Republic of Armenia, </w:t>
      </w:r>
      <w:r w:rsidRPr="002777A3">
        <w:rPr>
          <w:i/>
          <w:sz w:val="16"/>
        </w:rPr>
        <w:t>Law on Freedom of Information</w:t>
      </w:r>
      <w:r w:rsidRPr="002777A3">
        <w:rPr>
          <w:sz w:val="16"/>
        </w:rPr>
        <w:t>, September 2003.</w:t>
      </w:r>
    </w:p>
  </w:footnote>
  <w:footnote w:id="18">
    <w:p w:rsidR="002777A3" w:rsidRPr="002777A3" w:rsidRDefault="002777A3">
      <w:pPr>
        <w:pStyle w:val="FootnoteText"/>
      </w:pPr>
      <w:r w:rsidRPr="002777A3">
        <w:rPr>
          <w:rStyle w:val="FootnoteReference"/>
          <w:sz w:val="16"/>
        </w:rPr>
        <w:footnoteRef/>
      </w:r>
      <w:r w:rsidRPr="002777A3">
        <w:rPr>
          <w:sz w:val="16"/>
        </w:rPr>
        <w:t xml:space="preserve"> Republic of Armenia, </w:t>
      </w:r>
      <w:r w:rsidRPr="002777A3">
        <w:rPr>
          <w:i/>
          <w:sz w:val="16"/>
        </w:rPr>
        <w:t>Law on State and Official Secrets</w:t>
      </w:r>
      <w:r w:rsidRPr="002777A3">
        <w:rPr>
          <w:sz w:val="16"/>
        </w:rPr>
        <w:t>, December 1997.</w:t>
      </w:r>
    </w:p>
  </w:footnote>
  <w:footnote w:id="19">
    <w:p w:rsidR="002777A3" w:rsidRPr="002777A3" w:rsidRDefault="002777A3">
      <w:pPr>
        <w:pStyle w:val="FootnoteText"/>
      </w:pPr>
      <w:r w:rsidRPr="002777A3">
        <w:rPr>
          <w:rStyle w:val="FootnoteReference"/>
          <w:sz w:val="16"/>
        </w:rPr>
        <w:footnoteRef/>
      </w:r>
      <w:r w:rsidRPr="002777A3">
        <w:rPr>
          <w:sz w:val="16"/>
        </w:rPr>
        <w:t xml:space="preserve"> Republic of Armenia, </w:t>
      </w:r>
      <w:r w:rsidRPr="002777A3">
        <w:rPr>
          <w:i/>
          <w:sz w:val="16"/>
        </w:rPr>
        <w:t>Law on the RA</w:t>
      </w:r>
      <w:r>
        <w:rPr>
          <w:i/>
          <w:sz w:val="16"/>
        </w:rPr>
        <w:t xml:space="preserve"> </w:t>
      </w:r>
      <w:r w:rsidRPr="002777A3">
        <w:rPr>
          <w:i/>
          <w:sz w:val="16"/>
        </w:rPr>
        <w:t>2020 State Budget</w:t>
      </w:r>
      <w:r w:rsidRPr="002777A3">
        <w:rPr>
          <w:sz w:val="16"/>
        </w:rPr>
        <w:t>, 2019.</w:t>
      </w:r>
    </w:p>
  </w:footnote>
  <w:footnote w:id="20">
    <w:p w:rsidR="00AA6D55" w:rsidRPr="00AA6D55" w:rsidRDefault="00AA6D55">
      <w:pPr>
        <w:pStyle w:val="FootnoteText"/>
      </w:pPr>
      <w:r w:rsidRPr="00AA6D55">
        <w:rPr>
          <w:rStyle w:val="FootnoteReference"/>
          <w:sz w:val="16"/>
        </w:rPr>
        <w:footnoteRef/>
      </w:r>
      <w:r w:rsidRPr="00AA6D55">
        <w:rPr>
          <w:sz w:val="16"/>
        </w:rPr>
        <w:t xml:space="preserve"> Republic of Armenia, </w:t>
      </w:r>
      <w:r w:rsidRPr="00AA6D55">
        <w:rPr>
          <w:i/>
          <w:sz w:val="16"/>
        </w:rPr>
        <w:t>Law on the Budget System</w:t>
      </w:r>
      <w:r w:rsidRPr="00AA6D55">
        <w:rPr>
          <w:sz w:val="16"/>
        </w:rPr>
        <w:t>, June 1997</w:t>
      </w:r>
      <w:r>
        <w:t>.</w:t>
      </w:r>
    </w:p>
  </w:footnote>
  <w:footnote w:id="21">
    <w:p w:rsidR="00AA6D55" w:rsidRDefault="00AA6D55">
      <w:pPr>
        <w:pStyle w:val="FootnoteText"/>
      </w:pPr>
      <w:r w:rsidRPr="00AA6D55">
        <w:rPr>
          <w:rStyle w:val="FootnoteReference"/>
          <w:sz w:val="16"/>
        </w:rPr>
        <w:footnoteRef/>
      </w:r>
      <w:r w:rsidRPr="00AA6D55">
        <w:rPr>
          <w:sz w:val="16"/>
        </w:rPr>
        <w:t xml:space="preserve"> A1plus, ‘Now, are there $ 1.2 million USD in Martik's account or not?’, 26 September 2016. </w:t>
      </w:r>
    </w:p>
  </w:footnote>
  <w:footnote w:id="22">
    <w:p w:rsidR="000A0727" w:rsidRPr="000A0727" w:rsidRDefault="000A0727">
      <w:pPr>
        <w:pStyle w:val="FootnoteText"/>
        <w:rPr>
          <w:sz w:val="16"/>
          <w:szCs w:val="16"/>
        </w:rPr>
      </w:pPr>
      <w:r w:rsidRPr="000A0727">
        <w:rPr>
          <w:rStyle w:val="FootnoteReference"/>
          <w:sz w:val="16"/>
        </w:rPr>
        <w:footnoteRef/>
      </w:r>
      <w:r w:rsidRPr="000A0727">
        <w:rPr>
          <w:sz w:val="16"/>
        </w:rPr>
        <w:t xml:space="preserve"> </w:t>
      </w:r>
      <w:r w:rsidRPr="00AB706D">
        <w:rPr>
          <w:sz w:val="16"/>
          <w:szCs w:val="16"/>
        </w:rPr>
        <w:t xml:space="preserve">Republic of Armenia, </w:t>
      </w:r>
      <w:r w:rsidRPr="002777A3">
        <w:rPr>
          <w:i/>
          <w:sz w:val="16"/>
          <w:szCs w:val="16"/>
        </w:rPr>
        <w:t>Law on Whistleblowing</w:t>
      </w:r>
      <w:r w:rsidRPr="00AB706D">
        <w:rPr>
          <w:sz w:val="16"/>
          <w:szCs w:val="16"/>
        </w:rPr>
        <w:t>,</w:t>
      </w:r>
      <w:r>
        <w:rPr>
          <w:sz w:val="16"/>
          <w:szCs w:val="16"/>
        </w:rPr>
        <w:t xml:space="preserve"> August 2018</w:t>
      </w:r>
      <w:r w:rsidRPr="00AB706D">
        <w:rPr>
          <w:sz w:val="16"/>
          <w:szCs w:val="16"/>
        </w:rPr>
        <w:t xml:space="preserve">. </w:t>
      </w:r>
    </w:p>
  </w:footnote>
  <w:footnote w:id="23">
    <w:p w:rsidR="004B2CEA" w:rsidRPr="00AB706D" w:rsidRDefault="004B2CEA">
      <w:pPr>
        <w:pStyle w:val="FootnoteText"/>
        <w:rPr>
          <w:sz w:val="16"/>
          <w:szCs w:val="16"/>
        </w:rPr>
      </w:pPr>
      <w:r w:rsidRPr="00AB706D">
        <w:rPr>
          <w:rStyle w:val="FootnoteReference"/>
          <w:sz w:val="16"/>
          <w:szCs w:val="16"/>
        </w:rPr>
        <w:footnoteRef/>
      </w:r>
      <w:r w:rsidRPr="00AB706D">
        <w:rPr>
          <w:sz w:val="16"/>
          <w:szCs w:val="16"/>
        </w:rPr>
        <w:t xml:space="preserve"> Republic of Armenia, </w:t>
      </w:r>
      <w:r w:rsidR="002777A3" w:rsidRPr="002777A3">
        <w:rPr>
          <w:i/>
          <w:sz w:val="16"/>
          <w:szCs w:val="16"/>
        </w:rPr>
        <w:t>Law on Whistleblowing</w:t>
      </w:r>
      <w:r w:rsidRPr="00AB706D">
        <w:rPr>
          <w:sz w:val="16"/>
          <w:szCs w:val="16"/>
        </w:rPr>
        <w:t>,</w:t>
      </w:r>
      <w:r w:rsidR="002777A3">
        <w:rPr>
          <w:sz w:val="16"/>
          <w:szCs w:val="16"/>
        </w:rPr>
        <w:t xml:space="preserve"> August 2018</w:t>
      </w:r>
      <w:r w:rsidRPr="00AB706D">
        <w:rPr>
          <w:sz w:val="16"/>
          <w:szCs w:val="16"/>
        </w:rPr>
        <w:t xml:space="preserve">. </w:t>
      </w:r>
    </w:p>
  </w:footnote>
  <w:footnote w:id="24">
    <w:p w:rsidR="00286FBE" w:rsidRPr="00AB706D" w:rsidRDefault="00286FBE">
      <w:pPr>
        <w:pStyle w:val="FootnoteText"/>
        <w:rPr>
          <w:sz w:val="16"/>
          <w:szCs w:val="16"/>
        </w:rPr>
      </w:pPr>
      <w:r w:rsidRPr="00AB706D">
        <w:rPr>
          <w:rStyle w:val="FootnoteReference"/>
          <w:sz w:val="16"/>
          <w:szCs w:val="16"/>
        </w:rPr>
        <w:footnoteRef/>
      </w:r>
      <w:r w:rsidRPr="00AB706D">
        <w:rPr>
          <w:sz w:val="16"/>
          <w:szCs w:val="16"/>
        </w:rPr>
        <w:t xml:space="preserve"> </w:t>
      </w:r>
      <w:r w:rsidR="002777A3" w:rsidRPr="002777A3">
        <w:rPr>
          <w:i/>
          <w:sz w:val="16"/>
          <w:szCs w:val="16"/>
        </w:rPr>
        <w:t>Law on Whistleblowing</w:t>
      </w:r>
      <w:r w:rsidR="00855FC2" w:rsidRPr="00AB706D">
        <w:rPr>
          <w:sz w:val="16"/>
          <w:szCs w:val="16"/>
        </w:rPr>
        <w:t xml:space="preserve">, Article 6, clause 8. </w:t>
      </w:r>
    </w:p>
  </w:footnote>
  <w:footnote w:id="25">
    <w:p w:rsidR="000A0727" w:rsidRPr="000A0727" w:rsidRDefault="000A0727">
      <w:pPr>
        <w:pStyle w:val="FootnoteText"/>
      </w:pPr>
      <w:r w:rsidRPr="000A0727">
        <w:rPr>
          <w:rStyle w:val="FootnoteReference"/>
          <w:sz w:val="16"/>
        </w:rPr>
        <w:footnoteRef/>
      </w:r>
      <w:r w:rsidRPr="000A0727">
        <w:rPr>
          <w:sz w:val="16"/>
        </w:rPr>
        <w:t xml:space="preserve"> </w:t>
      </w:r>
      <w:r w:rsidRPr="000A0727">
        <w:rPr>
          <w:i/>
          <w:sz w:val="16"/>
        </w:rPr>
        <w:t>Law on Whistleblowing</w:t>
      </w:r>
      <w:r w:rsidRPr="000A0727">
        <w:rPr>
          <w:sz w:val="16"/>
        </w:rPr>
        <w:t>.</w:t>
      </w:r>
    </w:p>
  </w:footnote>
  <w:footnote w:id="26">
    <w:p w:rsidR="001D3513" w:rsidRPr="001D3513" w:rsidRDefault="001D3513">
      <w:pPr>
        <w:pStyle w:val="FootnoteText"/>
        <w:rPr>
          <w:i/>
          <w:sz w:val="16"/>
        </w:rPr>
      </w:pPr>
      <w:r w:rsidRPr="001D3513">
        <w:rPr>
          <w:rStyle w:val="FootnoteReference"/>
          <w:sz w:val="16"/>
        </w:rPr>
        <w:footnoteRef/>
      </w:r>
      <w:r w:rsidRPr="001D3513">
        <w:rPr>
          <w:sz w:val="16"/>
        </w:rPr>
        <w:t xml:space="preserve"> Republic of Armenia, </w:t>
      </w:r>
      <w:r w:rsidRPr="001D3513">
        <w:rPr>
          <w:i/>
          <w:sz w:val="16"/>
        </w:rPr>
        <w:t>Law on the Disciplinary Code of the RA Armed Forces</w:t>
      </w:r>
      <w:r w:rsidRPr="001D3513">
        <w:rPr>
          <w:sz w:val="16"/>
        </w:rPr>
        <w:t>, March 2012.</w:t>
      </w:r>
    </w:p>
  </w:footnote>
  <w:footnote w:id="27">
    <w:p w:rsidR="001D3513" w:rsidRPr="001D3513" w:rsidRDefault="001D3513">
      <w:pPr>
        <w:pStyle w:val="FootnoteText"/>
      </w:pPr>
      <w:r w:rsidRPr="001D3513">
        <w:rPr>
          <w:rStyle w:val="FootnoteReference"/>
          <w:sz w:val="16"/>
        </w:rPr>
        <w:footnoteRef/>
      </w:r>
      <w:r w:rsidRPr="001D3513">
        <w:rPr>
          <w:sz w:val="16"/>
        </w:rPr>
        <w:t xml:space="preserve"> Republic of Armenia, </w:t>
      </w:r>
      <w:r w:rsidRPr="001D3513">
        <w:rPr>
          <w:i/>
          <w:sz w:val="16"/>
        </w:rPr>
        <w:t>Law on Approving the Code of Internal Service of the RA Armed Forces</w:t>
      </w:r>
      <w:r w:rsidRPr="001D3513">
        <w:rPr>
          <w:sz w:val="16"/>
        </w:rPr>
        <w:t>, December 1996.</w:t>
      </w:r>
    </w:p>
  </w:footnote>
  <w:footnote w:id="28">
    <w:p w:rsidR="001D3513" w:rsidRPr="002976C6" w:rsidRDefault="001D3513">
      <w:pPr>
        <w:pStyle w:val="FootnoteText"/>
        <w:rPr>
          <w:sz w:val="16"/>
        </w:rPr>
      </w:pPr>
      <w:r w:rsidRPr="002976C6">
        <w:rPr>
          <w:rStyle w:val="FootnoteReference"/>
          <w:sz w:val="16"/>
        </w:rPr>
        <w:footnoteRef/>
      </w:r>
      <w:r w:rsidRPr="002976C6">
        <w:rPr>
          <w:sz w:val="16"/>
        </w:rPr>
        <w:t xml:space="preserve"> Republic of Armenia, </w:t>
      </w:r>
      <w:r w:rsidRPr="002976C6">
        <w:rPr>
          <w:i/>
          <w:sz w:val="16"/>
        </w:rPr>
        <w:t>Law on Special Civil Service</w:t>
      </w:r>
      <w:r w:rsidRPr="002976C6">
        <w:rPr>
          <w:sz w:val="16"/>
        </w:rPr>
        <w:t>, November 2007.</w:t>
      </w:r>
    </w:p>
  </w:footnote>
  <w:footnote w:id="29">
    <w:p w:rsidR="001D3513" w:rsidRDefault="001D3513">
      <w:pPr>
        <w:pStyle w:val="FootnoteText"/>
      </w:pPr>
      <w:r w:rsidRPr="002976C6">
        <w:rPr>
          <w:rStyle w:val="FootnoteReference"/>
          <w:sz w:val="16"/>
        </w:rPr>
        <w:footnoteRef/>
      </w:r>
      <w:r w:rsidRPr="002976C6">
        <w:rPr>
          <w:sz w:val="16"/>
        </w:rPr>
        <w:t xml:space="preserve"> </w:t>
      </w:r>
      <w:r w:rsidR="002976C6" w:rsidRPr="002976C6">
        <w:rPr>
          <w:sz w:val="16"/>
        </w:rPr>
        <w:t>Government of the Republic of Armenia, ‘Decree on the Procedure for Delivering Gifts Received to the State’, N48, February 1993.</w:t>
      </w:r>
    </w:p>
  </w:footnote>
  <w:footnote w:id="30">
    <w:p w:rsidR="002976C6" w:rsidRPr="002976C6" w:rsidRDefault="002976C6">
      <w:pPr>
        <w:pStyle w:val="FootnoteText"/>
      </w:pPr>
      <w:r w:rsidRPr="002976C6">
        <w:rPr>
          <w:rStyle w:val="FootnoteReference"/>
          <w:sz w:val="16"/>
        </w:rPr>
        <w:footnoteRef/>
      </w:r>
      <w:r w:rsidRPr="002976C6">
        <w:rPr>
          <w:sz w:val="16"/>
        </w:rPr>
        <w:t xml:space="preserve"> Vahe Makaryan, ‘Do not officials receive gifts or they hide it?,’ </w:t>
      </w:r>
      <w:r w:rsidRPr="002976C6">
        <w:rPr>
          <w:i/>
          <w:sz w:val="16"/>
        </w:rPr>
        <w:t>hraparak.am</w:t>
      </w:r>
      <w:r w:rsidRPr="002976C6">
        <w:rPr>
          <w:sz w:val="16"/>
        </w:rPr>
        <w:t>, 10 February 2018.</w:t>
      </w:r>
    </w:p>
  </w:footnote>
  <w:footnote w:id="31">
    <w:p w:rsidR="002976C6" w:rsidRPr="00AB706D" w:rsidRDefault="002976C6" w:rsidP="002976C6">
      <w:pPr>
        <w:pStyle w:val="FootnoteText"/>
        <w:rPr>
          <w:sz w:val="16"/>
          <w:szCs w:val="16"/>
        </w:rPr>
      </w:pPr>
      <w:r w:rsidRPr="00AB706D">
        <w:rPr>
          <w:rStyle w:val="FootnoteReference"/>
          <w:sz w:val="16"/>
          <w:szCs w:val="16"/>
        </w:rPr>
        <w:footnoteRef/>
      </w:r>
      <w:r w:rsidRPr="00AB706D">
        <w:rPr>
          <w:sz w:val="16"/>
          <w:szCs w:val="16"/>
        </w:rPr>
        <w:t xml:space="preserve"> NATO, ‘Kosovo Force (KFOR):</w:t>
      </w:r>
      <w:r>
        <w:rPr>
          <w:sz w:val="16"/>
          <w:szCs w:val="16"/>
        </w:rPr>
        <w:t xml:space="preserve"> Facts and Figures’, June 2020.</w:t>
      </w:r>
    </w:p>
  </w:footnote>
  <w:footnote w:id="32">
    <w:p w:rsidR="002976C6" w:rsidRPr="00AB706D" w:rsidRDefault="002976C6" w:rsidP="002976C6">
      <w:pPr>
        <w:pStyle w:val="FootnoteText"/>
        <w:rPr>
          <w:sz w:val="16"/>
          <w:szCs w:val="16"/>
        </w:rPr>
      </w:pPr>
      <w:r w:rsidRPr="00AB706D">
        <w:rPr>
          <w:rStyle w:val="FootnoteReference"/>
          <w:sz w:val="16"/>
          <w:szCs w:val="16"/>
        </w:rPr>
        <w:footnoteRef/>
      </w:r>
      <w:r w:rsidRPr="00AB706D">
        <w:rPr>
          <w:sz w:val="16"/>
          <w:szCs w:val="16"/>
        </w:rPr>
        <w:t xml:space="preserve"> United Nations Peacekeeping, ‘Troop and Police Contributors – Armenia</w:t>
      </w:r>
      <w:r>
        <w:rPr>
          <w:sz w:val="16"/>
          <w:szCs w:val="16"/>
        </w:rPr>
        <w:t>’.</w:t>
      </w:r>
    </w:p>
  </w:footnote>
  <w:footnote w:id="33">
    <w:p w:rsidR="002976C6" w:rsidRPr="00AB706D" w:rsidRDefault="002976C6" w:rsidP="002976C6">
      <w:pPr>
        <w:pStyle w:val="FootnoteText"/>
        <w:rPr>
          <w:sz w:val="16"/>
          <w:szCs w:val="16"/>
        </w:rPr>
      </w:pPr>
      <w:r w:rsidRPr="00AB706D">
        <w:rPr>
          <w:rStyle w:val="FootnoteReference"/>
          <w:sz w:val="16"/>
          <w:szCs w:val="16"/>
        </w:rPr>
        <w:footnoteRef/>
      </w:r>
      <w:r w:rsidRPr="00AB706D">
        <w:rPr>
          <w:sz w:val="16"/>
          <w:szCs w:val="16"/>
        </w:rPr>
        <w:t xml:space="preserve"> Charles W. Blandy, ‘Azerbaijan: Is War Over Nagorno-Karabakh </w:t>
      </w:r>
      <w:r>
        <w:rPr>
          <w:sz w:val="16"/>
          <w:szCs w:val="16"/>
        </w:rPr>
        <w:t>a Realistic Option?’, May 2008.</w:t>
      </w:r>
    </w:p>
  </w:footnote>
  <w:footnote w:id="34">
    <w:p w:rsidR="002976C6" w:rsidRDefault="002976C6">
      <w:pPr>
        <w:pStyle w:val="FootnoteText"/>
      </w:pPr>
      <w:r w:rsidRPr="002976C6">
        <w:rPr>
          <w:rStyle w:val="FootnoteReference"/>
          <w:sz w:val="16"/>
        </w:rPr>
        <w:footnoteRef/>
      </w:r>
      <w:r w:rsidRPr="002976C6">
        <w:rPr>
          <w:sz w:val="16"/>
        </w:rPr>
        <w:t xml:space="preserve"> Ministry of Defence, ‘The Military Doctrine of the Republic of Armenia’, 2007.</w:t>
      </w:r>
    </w:p>
  </w:footnote>
  <w:footnote w:id="35">
    <w:p w:rsidR="002976C6" w:rsidRDefault="002976C6">
      <w:pPr>
        <w:pStyle w:val="FootnoteText"/>
      </w:pPr>
      <w:r w:rsidRPr="002976C6">
        <w:rPr>
          <w:rStyle w:val="FootnoteReference"/>
          <w:sz w:val="16"/>
        </w:rPr>
        <w:footnoteRef/>
      </w:r>
      <w:r w:rsidRPr="002976C6">
        <w:rPr>
          <w:sz w:val="16"/>
        </w:rPr>
        <w:t xml:space="preserve"> Ministry of Defence, ‘The Vision of the Minister of Defence of the Republic of Armenia’, 9 July 2018.</w:t>
      </w:r>
    </w:p>
  </w:footnote>
  <w:footnote w:id="36">
    <w:p w:rsidR="00535C6E" w:rsidRPr="00AB706D" w:rsidRDefault="00535C6E" w:rsidP="00535C6E">
      <w:pPr>
        <w:pStyle w:val="FootnoteText"/>
        <w:rPr>
          <w:sz w:val="16"/>
          <w:szCs w:val="16"/>
        </w:rPr>
      </w:pPr>
      <w:r w:rsidRPr="00AB706D">
        <w:rPr>
          <w:rStyle w:val="FootnoteReference"/>
          <w:sz w:val="16"/>
          <w:szCs w:val="16"/>
        </w:rPr>
        <w:footnoteRef/>
      </w:r>
      <w:r w:rsidRPr="00AB706D">
        <w:rPr>
          <w:sz w:val="16"/>
          <w:szCs w:val="16"/>
        </w:rPr>
        <w:t xml:space="preserve"> SIPRI, ‘Military Expenditure by Country as Percentage o</w:t>
      </w:r>
      <w:r w:rsidR="00D66CDF">
        <w:rPr>
          <w:sz w:val="16"/>
          <w:szCs w:val="16"/>
        </w:rPr>
        <w:t>f GDP, 1988-2019’, SIPRI, 2020.</w:t>
      </w:r>
    </w:p>
  </w:footnote>
  <w:footnote w:id="37">
    <w:p w:rsidR="00535C6E" w:rsidRPr="00801A84" w:rsidRDefault="00535C6E" w:rsidP="00535C6E">
      <w:pPr>
        <w:pStyle w:val="FootnoteText"/>
        <w:rPr>
          <w:sz w:val="16"/>
        </w:rPr>
      </w:pPr>
      <w:r w:rsidRPr="00801A84">
        <w:rPr>
          <w:rStyle w:val="FootnoteReference"/>
          <w:sz w:val="16"/>
        </w:rPr>
        <w:footnoteRef/>
      </w:r>
      <w:r w:rsidRPr="00801A84">
        <w:rPr>
          <w:sz w:val="16"/>
        </w:rPr>
        <w:t xml:space="preserve"> </w:t>
      </w:r>
      <w:r w:rsidR="00D66CDF" w:rsidRPr="00D66CDF">
        <w:rPr>
          <w:rStyle w:val="Hyperlink"/>
          <w:color w:val="auto"/>
          <w:sz w:val="16"/>
          <w:u w:val="none"/>
        </w:rPr>
        <w:t>European Security &amp; Defence, ‘Armenia in a Shifting Security Environment’</w:t>
      </w:r>
      <w:r w:rsidR="00D66CDF">
        <w:rPr>
          <w:rStyle w:val="Hyperlink"/>
          <w:color w:val="auto"/>
          <w:sz w:val="16"/>
          <w:u w:val="none"/>
        </w:rPr>
        <w:t>, 6 November 2019.</w:t>
      </w:r>
    </w:p>
  </w:footnote>
  <w:footnote w:id="38">
    <w:p w:rsidR="00535C6E" w:rsidRPr="00AB706D" w:rsidRDefault="00535C6E" w:rsidP="00535C6E">
      <w:pPr>
        <w:pStyle w:val="FootnoteText"/>
        <w:rPr>
          <w:sz w:val="16"/>
          <w:szCs w:val="16"/>
        </w:rPr>
      </w:pPr>
      <w:r w:rsidRPr="00AB706D">
        <w:rPr>
          <w:rStyle w:val="FootnoteReference"/>
          <w:sz w:val="16"/>
          <w:szCs w:val="16"/>
        </w:rPr>
        <w:footnoteRef/>
      </w:r>
      <w:r w:rsidRPr="00AB706D">
        <w:rPr>
          <w:sz w:val="16"/>
          <w:szCs w:val="16"/>
        </w:rPr>
        <w:t xml:space="preserve"> Novikova, ‘Armenia in a Shifting Security Environment’. </w:t>
      </w:r>
    </w:p>
  </w:footnote>
  <w:footnote w:id="39">
    <w:p w:rsidR="00535C6E" w:rsidRPr="00AB706D" w:rsidRDefault="00535C6E" w:rsidP="00535C6E">
      <w:pPr>
        <w:pStyle w:val="FootnoteText"/>
        <w:rPr>
          <w:sz w:val="16"/>
          <w:szCs w:val="16"/>
        </w:rPr>
      </w:pPr>
      <w:r w:rsidRPr="00AB706D">
        <w:rPr>
          <w:rStyle w:val="FootnoteReference"/>
          <w:sz w:val="16"/>
          <w:szCs w:val="16"/>
        </w:rPr>
        <w:footnoteRef/>
      </w:r>
      <w:r w:rsidRPr="00AB706D">
        <w:rPr>
          <w:sz w:val="16"/>
          <w:szCs w:val="16"/>
        </w:rPr>
        <w:t xml:space="preserve"> Sam Bhutia, ‘Armenia-Azerbaijan: Who’s the Big Defense Spender?’, </w:t>
      </w:r>
      <w:r w:rsidRPr="00AB706D">
        <w:rPr>
          <w:i/>
          <w:sz w:val="16"/>
          <w:szCs w:val="16"/>
        </w:rPr>
        <w:t>Eurasianet</w:t>
      </w:r>
      <w:r w:rsidR="00D66CDF">
        <w:rPr>
          <w:sz w:val="16"/>
          <w:szCs w:val="16"/>
        </w:rPr>
        <w:t>, 28 October 2019.</w:t>
      </w:r>
      <w:r w:rsidR="00D66CDF" w:rsidRPr="00AB706D">
        <w:rPr>
          <w:sz w:val="16"/>
          <w:szCs w:val="16"/>
        </w:rPr>
        <w:t xml:space="preserve"> </w:t>
      </w:r>
    </w:p>
  </w:footnote>
  <w:footnote w:id="40">
    <w:p w:rsidR="00D66CDF" w:rsidRDefault="00D66CDF">
      <w:pPr>
        <w:pStyle w:val="FootnoteText"/>
      </w:pPr>
      <w:r w:rsidRPr="00D66CDF">
        <w:rPr>
          <w:rStyle w:val="FootnoteReference"/>
          <w:sz w:val="16"/>
        </w:rPr>
        <w:footnoteRef/>
      </w:r>
      <w:r w:rsidRPr="00D66CDF">
        <w:rPr>
          <w:sz w:val="16"/>
        </w:rPr>
        <w:t xml:space="preserve"> Republic of Armenia, ‘National Security Strategy’, 2007.</w:t>
      </w:r>
    </w:p>
  </w:footnote>
  <w:footnote w:id="41">
    <w:p w:rsidR="00535C6E" w:rsidRPr="00AB706D" w:rsidRDefault="00535C6E" w:rsidP="00535C6E">
      <w:pPr>
        <w:pStyle w:val="FootnoteText"/>
        <w:rPr>
          <w:sz w:val="16"/>
          <w:szCs w:val="16"/>
        </w:rPr>
      </w:pPr>
      <w:r w:rsidRPr="00AB706D">
        <w:rPr>
          <w:rStyle w:val="FootnoteReference"/>
          <w:sz w:val="16"/>
          <w:szCs w:val="16"/>
        </w:rPr>
        <w:footnoteRef/>
      </w:r>
      <w:r w:rsidRPr="00AB706D">
        <w:rPr>
          <w:sz w:val="16"/>
          <w:szCs w:val="16"/>
        </w:rPr>
        <w:t xml:space="preserve"> Ministry of Defence of the Republic of Armenia, ‘The Vision of The Minister of Defence of The Republic of Armenia’,  </w:t>
      </w:r>
      <w:hyperlink r:id="rId1" w:history="1">
        <w:r w:rsidRPr="00AB706D">
          <w:rPr>
            <w:rStyle w:val="Hyperlink"/>
            <w:sz w:val="16"/>
            <w:szCs w:val="16"/>
          </w:rPr>
          <w:t>http://www.mil.am/en/news/5402</w:t>
        </w:r>
      </w:hyperlink>
      <w:r w:rsidRPr="00AB706D">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E8" w:rsidRDefault="00055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6C" w:rsidRDefault="009B1D6C">
    <w:pPr>
      <w:pStyle w:val="Header"/>
    </w:pPr>
  </w:p>
  <w:p w:rsidR="009B1D6C" w:rsidRDefault="009B1D6C" w:rsidP="003D47A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A1" w:rsidRDefault="003D47A1" w:rsidP="003D47A1">
    <w:pPr>
      <w:pStyle w:val="Header"/>
      <w:jc w:val="right"/>
    </w:pPr>
    <w:r>
      <w:rPr>
        <w:noProof/>
      </w:rPr>
      <w:drawing>
        <wp:inline distT="0" distB="0" distL="0" distR="0" wp14:anchorId="37ACF7BE" wp14:editId="01A9131D">
          <wp:extent cx="2352907" cy="613317"/>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4984" cy="621678"/>
                  </a:xfrm>
                  <a:prstGeom prst="rect">
                    <a:avLst/>
                  </a:prstGeom>
                </pic:spPr>
              </pic:pic>
            </a:graphicData>
          </a:graphic>
        </wp:inline>
      </w:drawing>
    </w:r>
  </w:p>
  <w:p w:rsidR="003D47A1" w:rsidRDefault="003D47A1" w:rsidP="003D47A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67"/>
    <w:rsid w:val="00053725"/>
    <w:rsid w:val="000555E8"/>
    <w:rsid w:val="0006419A"/>
    <w:rsid w:val="000704D8"/>
    <w:rsid w:val="000A0727"/>
    <w:rsid w:val="000A2340"/>
    <w:rsid w:val="000F4A2C"/>
    <w:rsid w:val="00126088"/>
    <w:rsid w:val="001D3513"/>
    <w:rsid w:val="001D4603"/>
    <w:rsid w:val="001E1B33"/>
    <w:rsid w:val="00212BFA"/>
    <w:rsid w:val="002151BC"/>
    <w:rsid w:val="002777A3"/>
    <w:rsid w:val="00286FBE"/>
    <w:rsid w:val="00296E04"/>
    <w:rsid w:val="002976C6"/>
    <w:rsid w:val="002D0C99"/>
    <w:rsid w:val="002D0DEF"/>
    <w:rsid w:val="002E6749"/>
    <w:rsid w:val="00393FD3"/>
    <w:rsid w:val="003D3610"/>
    <w:rsid w:val="003D47A1"/>
    <w:rsid w:val="003D72B4"/>
    <w:rsid w:val="00402F49"/>
    <w:rsid w:val="004069F2"/>
    <w:rsid w:val="00423308"/>
    <w:rsid w:val="00427A6F"/>
    <w:rsid w:val="00432573"/>
    <w:rsid w:val="0043263E"/>
    <w:rsid w:val="00433F2A"/>
    <w:rsid w:val="00441B6E"/>
    <w:rsid w:val="004B2CEA"/>
    <w:rsid w:val="004C2E68"/>
    <w:rsid w:val="004C6367"/>
    <w:rsid w:val="004D898A"/>
    <w:rsid w:val="004F55E5"/>
    <w:rsid w:val="00524E23"/>
    <w:rsid w:val="00535C6E"/>
    <w:rsid w:val="00561422"/>
    <w:rsid w:val="00562330"/>
    <w:rsid w:val="005873EE"/>
    <w:rsid w:val="005D04E8"/>
    <w:rsid w:val="005D1BD8"/>
    <w:rsid w:val="00601558"/>
    <w:rsid w:val="00604C58"/>
    <w:rsid w:val="006174E8"/>
    <w:rsid w:val="00631B9A"/>
    <w:rsid w:val="0068431D"/>
    <w:rsid w:val="006867D0"/>
    <w:rsid w:val="006A6B99"/>
    <w:rsid w:val="006D041D"/>
    <w:rsid w:val="006E006C"/>
    <w:rsid w:val="006E1F26"/>
    <w:rsid w:val="00702D4F"/>
    <w:rsid w:val="00795059"/>
    <w:rsid w:val="007E5745"/>
    <w:rsid w:val="007E6F49"/>
    <w:rsid w:val="00807399"/>
    <w:rsid w:val="008450F4"/>
    <w:rsid w:val="00855FC2"/>
    <w:rsid w:val="00866EDB"/>
    <w:rsid w:val="008F5313"/>
    <w:rsid w:val="00954ACE"/>
    <w:rsid w:val="0098154C"/>
    <w:rsid w:val="009827CF"/>
    <w:rsid w:val="0098459E"/>
    <w:rsid w:val="009B1D6C"/>
    <w:rsid w:val="009E3011"/>
    <w:rsid w:val="009E5DC8"/>
    <w:rsid w:val="00A361CD"/>
    <w:rsid w:val="00A37404"/>
    <w:rsid w:val="00A65CEB"/>
    <w:rsid w:val="00A71D83"/>
    <w:rsid w:val="00AA6D55"/>
    <w:rsid w:val="00AA7158"/>
    <w:rsid w:val="00AB05A3"/>
    <w:rsid w:val="00AB1207"/>
    <w:rsid w:val="00AB706D"/>
    <w:rsid w:val="00AE2CC8"/>
    <w:rsid w:val="00B31AE6"/>
    <w:rsid w:val="00B3300D"/>
    <w:rsid w:val="00B56F67"/>
    <w:rsid w:val="00BA0FC2"/>
    <w:rsid w:val="00BD2F0B"/>
    <w:rsid w:val="00BF2B35"/>
    <w:rsid w:val="00C0424A"/>
    <w:rsid w:val="00C3010A"/>
    <w:rsid w:val="00C80013"/>
    <w:rsid w:val="00C920BF"/>
    <w:rsid w:val="00C947F0"/>
    <w:rsid w:val="00D0219A"/>
    <w:rsid w:val="00D036D2"/>
    <w:rsid w:val="00D212AA"/>
    <w:rsid w:val="00D51D7A"/>
    <w:rsid w:val="00D539F5"/>
    <w:rsid w:val="00D64E05"/>
    <w:rsid w:val="00D66CDF"/>
    <w:rsid w:val="00DA08C2"/>
    <w:rsid w:val="00DA498D"/>
    <w:rsid w:val="00DB1D20"/>
    <w:rsid w:val="00E049A9"/>
    <w:rsid w:val="00E10738"/>
    <w:rsid w:val="00E2320E"/>
    <w:rsid w:val="00E653C1"/>
    <w:rsid w:val="00E671CA"/>
    <w:rsid w:val="00E75DB7"/>
    <w:rsid w:val="00E76EDF"/>
    <w:rsid w:val="00E87BE4"/>
    <w:rsid w:val="00E93ED6"/>
    <w:rsid w:val="00EA6AC1"/>
    <w:rsid w:val="00EC533A"/>
    <w:rsid w:val="00F60A38"/>
    <w:rsid w:val="00FB0F13"/>
    <w:rsid w:val="00FC3EC2"/>
    <w:rsid w:val="00FE7A22"/>
    <w:rsid w:val="00FE7C05"/>
    <w:rsid w:val="00FF5794"/>
    <w:rsid w:val="00FF6A64"/>
    <w:rsid w:val="020D43AD"/>
    <w:rsid w:val="033D59BF"/>
    <w:rsid w:val="03FA2E66"/>
    <w:rsid w:val="068C0F44"/>
    <w:rsid w:val="0863754C"/>
    <w:rsid w:val="0A2A6481"/>
    <w:rsid w:val="0A46F3B6"/>
    <w:rsid w:val="0CAACAAA"/>
    <w:rsid w:val="0D1C2B48"/>
    <w:rsid w:val="0E948CD9"/>
    <w:rsid w:val="0F64F7C9"/>
    <w:rsid w:val="115F9EC5"/>
    <w:rsid w:val="121BD3BD"/>
    <w:rsid w:val="121F1BC7"/>
    <w:rsid w:val="13C6972E"/>
    <w:rsid w:val="14799DB7"/>
    <w:rsid w:val="14C2FD29"/>
    <w:rsid w:val="17D42C08"/>
    <w:rsid w:val="18B215A8"/>
    <w:rsid w:val="1DE62C07"/>
    <w:rsid w:val="1E9BE282"/>
    <w:rsid w:val="212A98A2"/>
    <w:rsid w:val="21A02BA2"/>
    <w:rsid w:val="242C9A89"/>
    <w:rsid w:val="25A9DB31"/>
    <w:rsid w:val="2753A90B"/>
    <w:rsid w:val="2773DADE"/>
    <w:rsid w:val="2908E93A"/>
    <w:rsid w:val="2970F1E4"/>
    <w:rsid w:val="2A29DDBC"/>
    <w:rsid w:val="2A327F96"/>
    <w:rsid w:val="2ACDF895"/>
    <w:rsid w:val="2BE1FF73"/>
    <w:rsid w:val="2C0E28B3"/>
    <w:rsid w:val="2C25CAEC"/>
    <w:rsid w:val="2DB9F6CC"/>
    <w:rsid w:val="2F0B2665"/>
    <w:rsid w:val="2FE3A9A4"/>
    <w:rsid w:val="314645F3"/>
    <w:rsid w:val="32D40E39"/>
    <w:rsid w:val="338F896D"/>
    <w:rsid w:val="357B52E0"/>
    <w:rsid w:val="37786560"/>
    <w:rsid w:val="37ACB910"/>
    <w:rsid w:val="37FB7DD9"/>
    <w:rsid w:val="38D98F57"/>
    <w:rsid w:val="391388EC"/>
    <w:rsid w:val="3B4E2829"/>
    <w:rsid w:val="3EF15B76"/>
    <w:rsid w:val="3F9C90F4"/>
    <w:rsid w:val="3FE908C6"/>
    <w:rsid w:val="40821728"/>
    <w:rsid w:val="431FCCB0"/>
    <w:rsid w:val="44AF675E"/>
    <w:rsid w:val="457BA985"/>
    <w:rsid w:val="458C6819"/>
    <w:rsid w:val="461D1ABA"/>
    <w:rsid w:val="4690D215"/>
    <w:rsid w:val="46F690F8"/>
    <w:rsid w:val="4945396B"/>
    <w:rsid w:val="4B79727C"/>
    <w:rsid w:val="4C4D7F02"/>
    <w:rsid w:val="4C4FD7CA"/>
    <w:rsid w:val="4CF813B3"/>
    <w:rsid w:val="4DD55521"/>
    <w:rsid w:val="4DF4DFF6"/>
    <w:rsid w:val="4F058DC0"/>
    <w:rsid w:val="50F912B1"/>
    <w:rsid w:val="544294E7"/>
    <w:rsid w:val="551F2D42"/>
    <w:rsid w:val="5544E384"/>
    <w:rsid w:val="56D0D411"/>
    <w:rsid w:val="57804A4F"/>
    <w:rsid w:val="586E86EB"/>
    <w:rsid w:val="58F1E95F"/>
    <w:rsid w:val="59EB8BB5"/>
    <w:rsid w:val="5AA955CF"/>
    <w:rsid w:val="5BC01733"/>
    <w:rsid w:val="5D454657"/>
    <w:rsid w:val="5ED344AE"/>
    <w:rsid w:val="5ED9C9EB"/>
    <w:rsid w:val="5F85D912"/>
    <w:rsid w:val="5FD4E783"/>
    <w:rsid w:val="609F2455"/>
    <w:rsid w:val="61D55B12"/>
    <w:rsid w:val="64B730FE"/>
    <w:rsid w:val="64E190EE"/>
    <w:rsid w:val="66337963"/>
    <w:rsid w:val="6735450D"/>
    <w:rsid w:val="674CF2EF"/>
    <w:rsid w:val="6A5ADA77"/>
    <w:rsid w:val="6B09190D"/>
    <w:rsid w:val="6C1014A2"/>
    <w:rsid w:val="6D496976"/>
    <w:rsid w:val="6D9DCF58"/>
    <w:rsid w:val="6E7D26CE"/>
    <w:rsid w:val="6E87CB8B"/>
    <w:rsid w:val="6F3B2BB5"/>
    <w:rsid w:val="70272F06"/>
    <w:rsid w:val="70909E42"/>
    <w:rsid w:val="7241E8F3"/>
    <w:rsid w:val="736735F5"/>
    <w:rsid w:val="756E3F6A"/>
    <w:rsid w:val="757DFE3A"/>
    <w:rsid w:val="7648D132"/>
    <w:rsid w:val="76988F26"/>
    <w:rsid w:val="779EB9BA"/>
    <w:rsid w:val="77A83A92"/>
    <w:rsid w:val="7827627B"/>
    <w:rsid w:val="79DCEE31"/>
    <w:rsid w:val="7AB8C5D0"/>
    <w:rsid w:val="7B18F033"/>
    <w:rsid w:val="7DB15A50"/>
    <w:rsid w:val="7E3D7D56"/>
    <w:rsid w:val="7F8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7C0A"/>
  <w15:chartTrackingRefBased/>
  <w15:docId w15:val="{81059411-ADB2-4147-8DBD-361E493B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67"/>
  </w:style>
  <w:style w:type="paragraph" w:styleId="Heading1">
    <w:name w:val="heading 1"/>
    <w:basedOn w:val="Normal"/>
    <w:next w:val="Normal"/>
    <w:link w:val="Heading1Char"/>
    <w:uiPriority w:val="9"/>
    <w:qFormat/>
    <w:rsid w:val="004C6367"/>
    <w:pPr>
      <w:keepNext/>
      <w:keepLines/>
      <w:pageBreakBefore/>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6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3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63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C6367"/>
    <w:rPr>
      <w:color w:val="0563C1" w:themeColor="hyperlink"/>
      <w:u w:val="single"/>
    </w:rPr>
  </w:style>
  <w:style w:type="paragraph" w:styleId="FootnoteText">
    <w:name w:val="footnote text"/>
    <w:basedOn w:val="Normal"/>
    <w:link w:val="FootnoteTextChar"/>
    <w:uiPriority w:val="99"/>
    <w:semiHidden/>
    <w:unhideWhenUsed/>
    <w:rsid w:val="004C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367"/>
    <w:rPr>
      <w:sz w:val="20"/>
      <w:szCs w:val="20"/>
    </w:rPr>
  </w:style>
  <w:style w:type="character" w:styleId="FootnoteReference">
    <w:name w:val="footnote reference"/>
    <w:basedOn w:val="DefaultParagraphFont"/>
    <w:uiPriority w:val="99"/>
    <w:semiHidden/>
    <w:unhideWhenUsed/>
    <w:rsid w:val="004C6367"/>
    <w:rPr>
      <w:vertAlign w:val="superscript"/>
    </w:rPr>
  </w:style>
  <w:style w:type="table" w:styleId="ListTable1Light-Accent5">
    <w:name w:val="List Table 1 Light Accent 5"/>
    <w:basedOn w:val="TableNormal"/>
    <w:uiPriority w:val="46"/>
    <w:rsid w:val="004C636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0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38"/>
    <w:rPr>
      <w:rFonts w:ascii="Segoe UI" w:hAnsi="Segoe UI" w:cs="Segoe UI"/>
      <w:sz w:val="18"/>
      <w:szCs w:val="18"/>
    </w:rPr>
  </w:style>
  <w:style w:type="character" w:styleId="FollowedHyperlink">
    <w:name w:val="FollowedHyperlink"/>
    <w:basedOn w:val="DefaultParagraphFont"/>
    <w:uiPriority w:val="99"/>
    <w:semiHidden/>
    <w:unhideWhenUsed/>
    <w:rsid w:val="00393FD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3011"/>
    <w:rPr>
      <w:b/>
      <w:bCs/>
    </w:rPr>
  </w:style>
  <w:style w:type="character" w:customStyle="1" w:styleId="CommentSubjectChar">
    <w:name w:val="Comment Subject Char"/>
    <w:basedOn w:val="CommentTextChar"/>
    <w:link w:val="CommentSubject"/>
    <w:uiPriority w:val="99"/>
    <w:semiHidden/>
    <w:rsid w:val="009E3011"/>
    <w:rPr>
      <w:b/>
      <w:bCs/>
      <w:sz w:val="20"/>
      <w:szCs w:val="20"/>
    </w:rPr>
  </w:style>
  <w:style w:type="character" w:customStyle="1" w:styleId="UnresolvedMention1">
    <w:name w:val="Unresolved Mention1"/>
    <w:basedOn w:val="DefaultParagraphFont"/>
    <w:uiPriority w:val="99"/>
    <w:semiHidden/>
    <w:unhideWhenUsed/>
    <w:rsid w:val="00C3010A"/>
    <w:rPr>
      <w:color w:val="605E5C"/>
      <w:shd w:val="clear" w:color="auto" w:fill="E1DFDD"/>
    </w:rPr>
  </w:style>
  <w:style w:type="paragraph" w:styleId="Header">
    <w:name w:val="header"/>
    <w:basedOn w:val="Normal"/>
    <w:link w:val="HeaderChar"/>
    <w:uiPriority w:val="99"/>
    <w:unhideWhenUsed/>
    <w:rsid w:val="00AB7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06D"/>
  </w:style>
  <w:style w:type="paragraph" w:styleId="Footer">
    <w:name w:val="footer"/>
    <w:basedOn w:val="Normal"/>
    <w:link w:val="FooterChar"/>
    <w:uiPriority w:val="99"/>
    <w:unhideWhenUsed/>
    <w:rsid w:val="00AB7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035205">
      <w:bodyDiv w:val="1"/>
      <w:marLeft w:val="0"/>
      <w:marRight w:val="0"/>
      <w:marTop w:val="0"/>
      <w:marBottom w:val="0"/>
      <w:divBdr>
        <w:top w:val="none" w:sz="0" w:space="0" w:color="auto"/>
        <w:left w:val="none" w:sz="0" w:space="0" w:color="auto"/>
        <w:bottom w:val="none" w:sz="0" w:space="0" w:color="auto"/>
        <w:right w:val="none" w:sz="0" w:space="0" w:color="auto"/>
      </w:divBdr>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
    <w:div w:id="18427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mil.am/en/news/54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0B"/>
    <w:rsid w:val="00A10CFA"/>
    <w:rsid w:val="00A7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A64D48D4B4BC3A7460E3CF0207BAC">
    <w:name w:val="41DA64D48D4B4BC3A7460E3CF0207BAC"/>
    <w:rsid w:val="00A75D0B"/>
  </w:style>
  <w:style w:type="paragraph" w:customStyle="1" w:styleId="684870D4E9C7429C84557116F0B41807">
    <w:name w:val="684870D4E9C7429C84557116F0B41807"/>
    <w:rsid w:val="00A75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C7FE-944E-4085-9E70-BCEFF18D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Transparency International</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Steadman</dc:creator>
  <cp:keywords/>
  <dc:description/>
  <cp:lastModifiedBy>Sona Ayvazyan</cp:lastModifiedBy>
  <cp:revision>3</cp:revision>
  <dcterms:created xsi:type="dcterms:W3CDTF">2021-11-15T18:53:00Z</dcterms:created>
  <dcterms:modified xsi:type="dcterms:W3CDTF">2021-11-15T18:58:00Z</dcterms:modified>
</cp:coreProperties>
</file>