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BF" w:rsidRPr="0016723D" w:rsidRDefault="00807399" w:rsidP="007F2CBB">
      <w:pPr>
        <w:pStyle w:val="Heading1"/>
        <w:spacing w:before="100" w:beforeAutospacing="1" w:after="100" w:afterAutospacing="1" w:line="276" w:lineRule="auto"/>
        <w:rPr>
          <w:rFonts w:ascii="Arian AMU" w:hAnsi="Arian AMU" w:cs="Arian AMU"/>
          <w:b/>
          <w:sz w:val="20"/>
          <w:szCs w:val="20"/>
        </w:rPr>
      </w:pPr>
      <w:bookmarkStart w:id="0" w:name="_Toc48307255"/>
      <w:r w:rsidRPr="0016723D">
        <w:rPr>
          <w:rFonts w:ascii="Arian AMU" w:hAnsi="Arian AMU" w:cs="Arian AMU"/>
          <w:b/>
          <w:sz w:val="20"/>
          <w:szCs w:val="20"/>
        </w:rPr>
        <w:t>Հայաստան</w:t>
      </w:r>
      <w:bookmarkEnd w:id="0"/>
    </w:p>
    <w:tbl>
      <w:tblPr>
        <w:tblStyle w:val="ListTable1Light-Accent5"/>
        <w:tblW w:w="9360" w:type="dxa"/>
        <w:tblLook w:val="04A0" w:firstRow="1" w:lastRow="0" w:firstColumn="1" w:lastColumn="0" w:noHBand="0" w:noVBand="1"/>
      </w:tblPr>
      <w:tblGrid>
        <w:gridCol w:w="5670"/>
        <w:gridCol w:w="270"/>
        <w:gridCol w:w="3420"/>
      </w:tblGrid>
      <w:tr w:rsidR="00793008" w:rsidRPr="0016723D" w:rsidTr="00793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Բաց կառավար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ության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 գործընկերությ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 xml:space="preserve">ան 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անդամ</w:t>
            </w:r>
          </w:p>
        </w:tc>
        <w:tc>
          <w:tcPr>
            <w:tcW w:w="2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b w:val="0"/>
                <w:bCs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Այո </w:t>
            </w:r>
          </w:p>
        </w:tc>
      </w:tr>
      <w:tr w:rsidR="00793008" w:rsidRPr="0016723D" w:rsidTr="00793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ՄԱԿ-ի «Կոռուպցիայի դեմ կոնվենցիա»</w:t>
            </w:r>
          </w:p>
        </w:tc>
        <w:tc>
          <w:tcPr>
            <w:tcW w:w="2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</w:p>
        </w:tc>
        <w:tc>
          <w:tcPr>
            <w:tcW w:w="342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Վավերացրել է 2007 թ.-ին</w:t>
            </w:r>
          </w:p>
        </w:tc>
      </w:tr>
      <w:tr w:rsidR="00793008" w:rsidRPr="0016723D" w:rsidTr="00793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«Զենքի առևտրի մասին միջազգային պայմանագիր»</w:t>
            </w:r>
          </w:p>
        </w:tc>
        <w:tc>
          <w:tcPr>
            <w:tcW w:w="27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793008" w:rsidRPr="0016723D" w:rsidRDefault="00793008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Ստորագրած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չէ</w:t>
            </w:r>
          </w:p>
        </w:tc>
      </w:tr>
    </w:tbl>
    <w:p w:rsidR="00954ACE" w:rsidRPr="0016723D" w:rsidRDefault="00E93ED6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2018-2020 թվականները Հայաստանում ցնցումների շրջան </w:t>
      </w:r>
      <w:r w:rsidR="006733A7" w:rsidRPr="0016723D">
        <w:rPr>
          <w:rFonts w:ascii="Arian AMU" w:hAnsi="Arian AMU" w:cs="Arian AMU"/>
          <w:sz w:val="20"/>
          <w:szCs w:val="20"/>
        </w:rPr>
        <w:t>է</w:t>
      </w:r>
      <w:r w:rsidR="006733A7" w:rsidRPr="0016723D">
        <w:rPr>
          <w:rFonts w:ascii="Arian AMU" w:hAnsi="Arian AMU" w:cs="Arian AMU"/>
          <w:sz w:val="20"/>
          <w:szCs w:val="20"/>
          <w:lang w:val="en-US"/>
        </w:rPr>
        <w:t>ին</w:t>
      </w:r>
      <w:r w:rsidRPr="0016723D">
        <w:rPr>
          <w:rFonts w:ascii="Arian AMU" w:hAnsi="Arian AMU" w:cs="Arian AMU"/>
          <w:sz w:val="20"/>
          <w:szCs w:val="20"/>
        </w:rPr>
        <w:t xml:space="preserve"> քաղաքական ասպարեզում և արտաքին հարաբերություններում։ 2018 թվականի Թավշյա հեղափոխությունը՝ նախկին </w:t>
      </w:r>
      <w:r w:rsidR="006733A7" w:rsidRPr="0016723D">
        <w:rPr>
          <w:rFonts w:ascii="Arian AMU" w:hAnsi="Arian AMU" w:cs="Arian AMU"/>
          <w:sz w:val="20"/>
          <w:szCs w:val="20"/>
        </w:rPr>
        <w:t>Ն</w:t>
      </w:r>
      <w:r w:rsidRPr="0016723D">
        <w:rPr>
          <w:rFonts w:ascii="Arian AMU" w:hAnsi="Arian AMU" w:cs="Arian AMU"/>
          <w:sz w:val="20"/>
          <w:szCs w:val="20"/>
        </w:rPr>
        <w:t>ախագահ Սերժ Սարգսյանի դեմ բողոքի զանգվածային ցույցերով, հանգեցրեց զգալի քաղաքական փոփոխությունների և 2018 թվականի ընթացքում երկու նոր կառավարությունների ձևավորման</w:t>
      </w:r>
      <w:r w:rsidR="00807399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"/>
      </w:r>
      <w:r w:rsidRPr="0016723D">
        <w:rPr>
          <w:rFonts w:ascii="Arian AMU" w:hAnsi="Arian AMU" w:cs="Arian AMU"/>
          <w:sz w:val="20"/>
          <w:szCs w:val="20"/>
        </w:rPr>
        <w:t>։  «Քաղաքացիական պայմանագիր» կուսակցությունը, որը Նիկոլ Փաշինյանի կառավարությ</w:t>
      </w:r>
      <w:r w:rsidR="006733A7" w:rsidRPr="0016723D">
        <w:rPr>
          <w:rFonts w:ascii="Arian AMU" w:hAnsi="Arian AMU" w:cs="Arian AMU"/>
          <w:sz w:val="20"/>
          <w:szCs w:val="20"/>
          <w:lang w:val="en-US"/>
        </w:rPr>
        <w:t>ան գլխավոր ուժն էր</w:t>
      </w:r>
      <w:r w:rsidRPr="0016723D">
        <w:rPr>
          <w:rFonts w:ascii="Arian AMU" w:hAnsi="Arian AMU" w:cs="Arian AMU"/>
          <w:sz w:val="20"/>
          <w:szCs w:val="20"/>
        </w:rPr>
        <w:t xml:space="preserve">, իշխանության եկավ ժողովրդավարական բարեփոխումների, քաղաքական կոռուպցիայի դեմ պայքարի, քաղաքականության </w:t>
      </w:r>
      <w:r w:rsidR="006733A7" w:rsidRPr="0016723D">
        <w:rPr>
          <w:rFonts w:ascii="Arian AMU" w:hAnsi="Arian AMU" w:cs="Arian AMU"/>
          <w:sz w:val="20"/>
          <w:szCs w:val="20"/>
          <w:lang w:val="en-US"/>
        </w:rPr>
        <w:t>վար</w:t>
      </w:r>
      <w:r w:rsidRPr="0016723D">
        <w:rPr>
          <w:rFonts w:ascii="Arian AMU" w:hAnsi="Arian AMU" w:cs="Arian AMU"/>
          <w:sz w:val="20"/>
          <w:szCs w:val="20"/>
        </w:rPr>
        <w:t xml:space="preserve">ման թափանցիկության մեծացման և տարածաշրջանում Հայաստանի անվտանգության պահպանման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օրակարգով</w:t>
      </w:r>
      <w:r w:rsidR="004C636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"/>
      </w:r>
      <w:r w:rsidRPr="0016723D">
        <w:rPr>
          <w:rFonts w:ascii="Arian AMU" w:hAnsi="Arian AMU" w:cs="Arian AMU"/>
          <w:sz w:val="20"/>
          <w:szCs w:val="20"/>
        </w:rPr>
        <w:t>։ Այդուհանդերձ, Ադրբեջանի հետ սահման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ագծում</w:t>
      </w:r>
      <w:r w:rsidRPr="0016723D">
        <w:rPr>
          <w:rFonts w:ascii="Arian AMU" w:hAnsi="Arian AMU" w:cs="Arian AMU"/>
          <w:sz w:val="20"/>
          <w:szCs w:val="20"/>
        </w:rPr>
        <w:t xml:space="preserve"> 2020 թվականին տեղի ունեցած հուլիսյան բախումները և 2020 թվականի սեպտեմբեր-նոյեմբեր ամիսներին Լեռնային Ղարաբաղում </w:t>
      </w:r>
      <w:r w:rsidR="00EA3B60" w:rsidRPr="0016723D">
        <w:rPr>
          <w:rFonts w:ascii="Arian AMU" w:hAnsi="Arian AMU" w:cs="Arian AMU"/>
          <w:sz w:val="20"/>
          <w:szCs w:val="20"/>
        </w:rPr>
        <w:t xml:space="preserve">ծավալված պատերազմը </w:t>
      </w:r>
      <w:r w:rsidRPr="0016723D">
        <w:rPr>
          <w:rFonts w:ascii="Arian AMU" w:hAnsi="Arian AMU" w:cs="Arian AMU"/>
          <w:sz w:val="20"/>
          <w:szCs w:val="20"/>
        </w:rPr>
        <w:t>ամբողջովին փոխե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ցին</w:t>
      </w:r>
      <w:r w:rsidRPr="0016723D">
        <w:rPr>
          <w:rFonts w:ascii="Arian AMU" w:hAnsi="Arian AMU" w:cs="Arian AMU"/>
          <w:sz w:val="20"/>
          <w:szCs w:val="20"/>
        </w:rPr>
        <w:t xml:space="preserve"> քաղաքական և անվտանգային լանդշաֆտը՝ խախտելով քաղաքական կոնսենսուսը և փոխելով առաջնահերթությունները։ 2021 թվականի հունիսին կայացած արտահերթ խորհրդարանական ընտրությունների արդյունքում, որոնք հիմնականում անցկացվեցին միջազգային չափորոշիչներին համապատասխան, ոչ միայն Փաշինյանի «Քաղաքացիական պայմանագիր» կուսակցությունը մնաց իշխանության ղեկին, այլև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Խ</w:t>
      </w:r>
      <w:r w:rsidRPr="0016723D">
        <w:rPr>
          <w:rFonts w:ascii="Arian AMU" w:hAnsi="Arian AMU" w:cs="Arian AMU"/>
          <w:sz w:val="20"/>
          <w:szCs w:val="20"/>
        </w:rPr>
        <w:t xml:space="preserve">որհրդարան վերադարձան նախկին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վարչա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կազմերի</w:t>
      </w:r>
      <w:r w:rsidRPr="0016723D">
        <w:rPr>
          <w:rFonts w:ascii="Arian AMU" w:hAnsi="Arian AMU" w:cs="Arian AMU"/>
          <w:sz w:val="20"/>
          <w:szCs w:val="20"/>
        </w:rPr>
        <w:t xml:space="preserve"> ներկայացուցիչները, որոնք հատկապես հայտնի էին ինքնակալական (ավտոկրատ) և գողապետական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 xml:space="preserve">(կլեպտոկրատ) </w:t>
      </w:r>
      <w:r w:rsidRPr="0016723D">
        <w:rPr>
          <w:rFonts w:ascii="Arian AMU" w:hAnsi="Arian AMU" w:cs="Arian AMU"/>
          <w:sz w:val="20"/>
          <w:szCs w:val="20"/>
        </w:rPr>
        <w:t>կառավարմամբ</w:t>
      </w:r>
      <w:r w:rsidR="00807399" w:rsidRPr="0016723D">
        <w:rPr>
          <w:rStyle w:val="FootnoteReference"/>
          <w:rFonts w:ascii="Arian AMU" w:hAnsi="Arian AMU" w:cs="Arian AMU"/>
          <w:sz w:val="20"/>
          <w:szCs w:val="20"/>
        </w:rPr>
        <w:footnoteReference w:id="3"/>
      </w:r>
      <w:r w:rsidRPr="0016723D">
        <w:rPr>
          <w:rFonts w:ascii="Arian AMU" w:hAnsi="Arian AMU" w:cs="Arian AMU"/>
          <w:sz w:val="20"/>
          <w:szCs w:val="20"/>
        </w:rPr>
        <w:t>։ Հայաստանի կառավարությունը և հասարակությունը դեռևս պայքարում են պատերազմի հետևանքների դեմ, որը պատճառ դարձավ 4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000 զոհերի, մի քանի հազար վիրավորների, տարածքային խոշոր կորուստների և հումանիտար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աղետի</w:t>
      </w:r>
      <w:r w:rsidR="00807399" w:rsidRPr="0016723D">
        <w:rPr>
          <w:rStyle w:val="FootnoteReference"/>
          <w:rFonts w:ascii="Arian AMU" w:hAnsi="Arian AMU" w:cs="Arian AMU"/>
          <w:sz w:val="20"/>
          <w:szCs w:val="20"/>
        </w:rPr>
        <w:footnoteReference w:id="4"/>
      </w:r>
      <w:r w:rsidRPr="0016723D">
        <w:rPr>
          <w:rFonts w:ascii="Arian AMU" w:hAnsi="Arian AMU" w:cs="Arian AMU"/>
          <w:sz w:val="20"/>
          <w:szCs w:val="20"/>
        </w:rPr>
        <w:t xml:space="preserve">։ Պատերազմի </w:t>
      </w:r>
      <w:r w:rsidR="00EA3B60" w:rsidRPr="0016723D">
        <w:rPr>
          <w:rFonts w:ascii="Arian AMU" w:hAnsi="Arian AMU" w:cs="Arian AMU"/>
          <w:sz w:val="20"/>
          <w:szCs w:val="20"/>
        </w:rPr>
        <w:t>արդյունքը վեր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 xml:space="preserve"> </w:t>
      </w:r>
      <w:r w:rsidR="00EA3B60" w:rsidRPr="0016723D">
        <w:rPr>
          <w:rFonts w:ascii="Arian AMU" w:hAnsi="Arian AMU" w:cs="Arian AMU"/>
          <w:sz w:val="20"/>
          <w:szCs w:val="20"/>
        </w:rPr>
        <w:t>հանեց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 xml:space="preserve"> </w:t>
      </w:r>
      <w:r w:rsidRPr="0016723D">
        <w:rPr>
          <w:rFonts w:ascii="Arian AMU" w:hAnsi="Arian AMU" w:cs="Arian AMU"/>
          <w:sz w:val="20"/>
          <w:szCs w:val="20"/>
        </w:rPr>
        <w:t xml:space="preserve">հարցեր Հայաստանի և Ադրբեջանի միջև ռազմական տեխնիկայի ակնհայտ անհավասարության, երկու երկրների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 xml:space="preserve">զինված </w:t>
      </w:r>
      <w:r w:rsidRPr="0016723D">
        <w:rPr>
          <w:rFonts w:ascii="Arian AMU" w:hAnsi="Arian AMU" w:cs="Arian AMU"/>
          <w:sz w:val="20"/>
          <w:szCs w:val="20"/>
        </w:rPr>
        <w:t xml:space="preserve">ուժերի պատրաստվածության և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վիճակի</w:t>
      </w:r>
      <w:r w:rsidRPr="0016723D">
        <w:rPr>
          <w:rFonts w:ascii="Arian AMU" w:hAnsi="Arian AMU" w:cs="Arian AMU"/>
          <w:sz w:val="20"/>
          <w:szCs w:val="20"/>
        </w:rPr>
        <w:t xml:space="preserve">, </w:t>
      </w:r>
      <w:r w:rsidR="00EA3B60" w:rsidRPr="0016723D">
        <w:rPr>
          <w:rFonts w:ascii="Arian AMU" w:hAnsi="Arian AMU" w:cs="Arian AMU"/>
          <w:sz w:val="20"/>
          <w:szCs w:val="20"/>
        </w:rPr>
        <w:t>նման</w:t>
      </w:r>
      <w:r w:rsidRPr="0016723D">
        <w:rPr>
          <w:rFonts w:ascii="Arian AMU" w:hAnsi="Arian AMU" w:cs="Arian AMU"/>
          <w:sz w:val="20"/>
          <w:szCs w:val="20"/>
        </w:rPr>
        <w:t xml:space="preserve"> արդյունքի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 xml:space="preserve"> մեջ ներդրում ունեցած</w:t>
      </w:r>
      <w:r w:rsidRPr="0016723D">
        <w:rPr>
          <w:rFonts w:ascii="Arian AMU" w:hAnsi="Arian AMU" w:cs="Arian AMU"/>
          <w:sz w:val="20"/>
          <w:szCs w:val="20"/>
        </w:rPr>
        <w:t xml:space="preserve"> միջազգային աջակցության մասին</w:t>
      </w:r>
      <w:r w:rsidR="00A361CD" w:rsidRPr="0016723D">
        <w:rPr>
          <w:rStyle w:val="FootnoteReference"/>
          <w:rFonts w:ascii="Arian AMU" w:hAnsi="Arian AMU" w:cs="Arian AMU"/>
          <w:sz w:val="20"/>
          <w:szCs w:val="20"/>
        </w:rPr>
        <w:footnoteReference w:id="5"/>
      </w:r>
      <w:r w:rsidRPr="0016723D">
        <w:rPr>
          <w:rFonts w:ascii="Arian AMU" w:hAnsi="Arian AMU" w:cs="Arian AMU"/>
          <w:sz w:val="20"/>
          <w:szCs w:val="20"/>
        </w:rPr>
        <w:t>։ Այսպիսով, հակամարտությունը մեծացրել է  պաշտպանության ոլորտի կառուցվածքին և կառավարմանը դարձվող ուշադրությունը։ Ներկա դրությամբ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Հայաստանի պաշտպանական ոլորտը շարունակում է պատված մնալ գաղտնիության քողով՝ քաղաքականության մշակման, ֆինանսական կառավարման և ձեռքբերումների նկատմամբ սահմանափակ արտաքին վերահսկողությամբ՝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չնայած</w:t>
      </w:r>
      <w:r w:rsidRPr="0016723D">
        <w:rPr>
          <w:rFonts w:ascii="Arian AMU" w:hAnsi="Arian AMU" w:cs="Arian AMU"/>
          <w:sz w:val="20"/>
          <w:szCs w:val="20"/>
        </w:rPr>
        <w:t xml:space="preserve"> վերջին տարիների որոշակի առաջընթացին: Անձնակազմի կառավարման հակակոռուպցիոն 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ստանդարտները</w:t>
      </w:r>
      <w:r w:rsidRPr="0016723D">
        <w:rPr>
          <w:rFonts w:ascii="Arian AMU" w:hAnsi="Arian AMU" w:cs="Arian AMU"/>
          <w:sz w:val="20"/>
          <w:szCs w:val="20"/>
        </w:rPr>
        <w:t>, ներառյալ ուսուցումը և վարք</w:t>
      </w:r>
      <w:r w:rsidR="00EA3B60" w:rsidRPr="0016723D">
        <w:rPr>
          <w:rFonts w:ascii="Arian AMU" w:hAnsi="Arian AMU" w:cs="Arian AMU"/>
          <w:sz w:val="20"/>
          <w:szCs w:val="20"/>
          <w:lang w:val="en-US"/>
        </w:rPr>
        <w:t>ա</w:t>
      </w:r>
      <w:r w:rsidRPr="0016723D">
        <w:rPr>
          <w:rFonts w:ascii="Arian AMU" w:hAnsi="Arian AMU" w:cs="Arian AMU"/>
          <w:sz w:val="20"/>
          <w:szCs w:val="20"/>
        </w:rPr>
        <w:t>կանոնները, նվազագույն են, իսկ գործողություններում կոռուպցիայի դեմ երաշխիքները չափազանց թույլ են:</w:t>
      </w:r>
    </w:p>
    <w:p w:rsidR="008E16FC" w:rsidRDefault="008E16FC">
      <w:pPr>
        <w:rPr>
          <w:rFonts w:ascii="Arian AMU" w:eastAsiaTheme="majorEastAsia" w:hAnsi="Arian AMU" w:cs="Arian AMU"/>
          <w:color w:val="2E74B5" w:themeColor="accent1" w:themeShade="BF"/>
          <w:sz w:val="20"/>
          <w:szCs w:val="20"/>
        </w:rPr>
      </w:pPr>
      <w:bookmarkStart w:id="1" w:name="_Toc48307256"/>
      <w:r>
        <w:rPr>
          <w:rFonts w:ascii="Arian AMU" w:hAnsi="Arian AMU" w:cs="Arian AMU"/>
          <w:sz w:val="20"/>
          <w:szCs w:val="20"/>
        </w:rPr>
        <w:br w:type="page"/>
      </w:r>
    </w:p>
    <w:p w:rsidR="007F2CBB" w:rsidRPr="0016723D" w:rsidRDefault="00807399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Խորհրդարանական վերահսկողություն </w:t>
      </w:r>
    </w:p>
    <w:tbl>
      <w:tblPr>
        <w:tblStyle w:val="ListTable1Light-Accent5"/>
        <w:tblW w:w="9270" w:type="dxa"/>
        <w:tblLook w:val="04A0" w:firstRow="1" w:lastRow="0" w:firstColumn="1" w:lastColumn="0" w:noHBand="0" w:noVBand="1"/>
      </w:tblPr>
      <w:tblGrid>
        <w:gridCol w:w="6840"/>
        <w:gridCol w:w="2430"/>
      </w:tblGrid>
      <w:tr w:rsidR="00807399" w:rsidRPr="0016723D" w:rsidTr="007F2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Բյուջեի օրենսդրական վերահսկողություն (Բյուջեի բաց հետազոտություն, Միջազգային բյուջետային գործընկերություն</w:t>
            </w:r>
            <w:r w:rsidR="007F2CBB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 xml:space="preserve">՝ 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IBP, 2019)</w:t>
            </w:r>
          </w:p>
        </w:tc>
        <w:tc>
          <w:tcPr>
            <w:tcW w:w="243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Գնահատված չէ</w:t>
            </w:r>
          </w:p>
        </w:tc>
      </w:tr>
      <w:tr w:rsidR="00807399" w:rsidRPr="0016723D" w:rsidTr="007F2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Ռազմական ծախսերը որպես պետական ծախսերի մասնաբաժին (Ստոկհոլմի խաղաղության հետազոտության միջազգային ինստիտուտ՝ SIPRI, 2020)</w:t>
            </w:r>
          </w:p>
        </w:tc>
        <w:tc>
          <w:tcPr>
            <w:tcW w:w="243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16,7%</w:t>
            </w:r>
          </w:p>
        </w:tc>
      </w:tr>
      <w:tr w:rsidR="00807399" w:rsidRPr="0016723D" w:rsidTr="007F2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Պաշտպանության ոլորտի փորձագիտական գիտելիքներ ունեցող հանձնաժողովի անդամները, %</w:t>
            </w:r>
          </w:p>
        </w:tc>
        <w:tc>
          <w:tcPr>
            <w:tcW w:w="243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18% (11-ից 2-ը)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t xml:space="preserve"> 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footnoteReference w:id="6"/>
            </w:r>
          </w:p>
        </w:tc>
      </w:tr>
      <w:tr w:rsidR="00807399" w:rsidRPr="0016723D" w:rsidTr="007F2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Հանդիպումների թիվը</w:t>
            </w:r>
            <w:r w:rsidR="007F2CBB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՝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 տարվա կտրվածքով</w:t>
            </w:r>
          </w:p>
        </w:tc>
        <w:tc>
          <w:tcPr>
            <w:tcW w:w="243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Տվյալները հանրությանը հասանելի </w:t>
            </w:r>
            <w:r w:rsidR="007F2CBB" w:rsidRPr="0016723D">
              <w:rPr>
                <w:rFonts w:ascii="Arian AMU" w:hAnsi="Arian AMU" w:cs="Arian AMU"/>
                <w:sz w:val="20"/>
                <w:szCs w:val="20"/>
              </w:rPr>
              <w:t>չեն</w:t>
            </w:r>
          </w:p>
        </w:tc>
      </w:tr>
      <w:tr w:rsidR="00807399" w:rsidRPr="0016723D" w:rsidTr="007F2CB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Պաշտպանության քաղաքականության/ռազմավարության վերջին վեր</w:t>
            </w:r>
            <w:r w:rsidR="00336068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ա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նայումը</w:t>
            </w:r>
          </w:p>
        </w:tc>
        <w:tc>
          <w:tcPr>
            <w:tcW w:w="2430" w:type="dxa"/>
          </w:tcPr>
          <w:p w:rsidR="00807399" w:rsidRPr="0016723D" w:rsidRDefault="00807399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  <w:highlight w:val="yellow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2020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footnoteReference w:id="7"/>
            </w:r>
          </w:p>
        </w:tc>
      </w:tr>
    </w:tbl>
    <w:bookmarkEnd w:id="1"/>
    <w:p w:rsidR="004C6367" w:rsidRPr="0016723D" w:rsidRDefault="00FF5794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Հայաստանի </w:t>
      </w:r>
      <w:r w:rsidR="007F2CBB" w:rsidRPr="0016723D">
        <w:rPr>
          <w:rFonts w:ascii="Arian AMU" w:hAnsi="Arian AMU" w:cs="Arian AMU"/>
          <w:sz w:val="20"/>
          <w:szCs w:val="20"/>
          <w:lang w:val="en-US"/>
        </w:rPr>
        <w:t>կիսա</w:t>
      </w:r>
      <w:r w:rsidRPr="0016723D">
        <w:rPr>
          <w:rFonts w:ascii="Arian AMU" w:hAnsi="Arian AMU" w:cs="Arian AMU"/>
          <w:sz w:val="20"/>
          <w:szCs w:val="20"/>
        </w:rPr>
        <w:t>նախագահական կառավարման համակարգի պայմաններում</w:t>
      </w:r>
      <w:r w:rsidR="007F2CBB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մինչև 2018 թվականի կեսերը</w:t>
      </w:r>
      <w:r w:rsidR="007F2CBB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գործադիրի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 xml:space="preserve">և </w:t>
      </w:r>
      <w:r w:rsidRPr="0016723D">
        <w:rPr>
          <w:rFonts w:ascii="Arian AMU" w:hAnsi="Arian AMU" w:cs="Arian AMU"/>
          <w:sz w:val="20"/>
          <w:szCs w:val="20"/>
        </w:rPr>
        <w:t>հատկապես պաշտպանության ոլորտի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նկատմամբ խորհրդարանական վերահսկողությունը</w:t>
      </w:r>
      <w:r w:rsidR="007F2CBB" w:rsidRPr="0016723D">
        <w:rPr>
          <w:rFonts w:ascii="Arian AMU" w:hAnsi="Arian AMU" w:cs="Arian AMU"/>
          <w:sz w:val="20"/>
          <w:szCs w:val="20"/>
          <w:lang w:val="en-US"/>
        </w:rPr>
        <w:t xml:space="preserve"> 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 xml:space="preserve">խոչընդոտվում էր կառավարության կողմից, որը </w:t>
      </w:r>
      <w:r w:rsidRPr="0016723D">
        <w:rPr>
          <w:rFonts w:ascii="Arian AMU" w:hAnsi="Arian AMU" w:cs="Arian AMU"/>
          <w:sz w:val="20"/>
          <w:szCs w:val="20"/>
        </w:rPr>
        <w:t>զգուշավոր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 xml:space="preserve">ություն էր ցուցաբերում և </w:t>
      </w:r>
      <w:r w:rsidRPr="0016723D">
        <w:rPr>
          <w:rFonts w:ascii="Arian AMU" w:hAnsi="Arian AMU" w:cs="Arian AMU"/>
          <w:sz w:val="20"/>
          <w:szCs w:val="20"/>
        </w:rPr>
        <w:t>հաճախ հրաժարվում էր պատասխանել պատգամավորների հարցերին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«գաղտնիության»</w:t>
      </w:r>
      <w:r w:rsidR="004C636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8"/>
      </w:r>
      <w:r w:rsidRPr="0016723D">
        <w:rPr>
          <w:rFonts w:ascii="Arian AMU" w:hAnsi="Arian AMU" w:cs="Arian AMU"/>
          <w:sz w:val="20"/>
          <w:szCs w:val="20"/>
        </w:rPr>
        <w:t xml:space="preserve"> նկատառումներով և ակտիվորեն անտեսում էր ընդդիմության ձայները</w:t>
      </w:r>
      <w:r w:rsidR="004C636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9"/>
      </w:r>
      <w:r w:rsidRPr="0016723D">
        <w:rPr>
          <w:rFonts w:ascii="Arian AMU" w:hAnsi="Arian AMU" w:cs="Arian AMU"/>
          <w:sz w:val="20"/>
          <w:szCs w:val="20"/>
        </w:rPr>
        <w:t xml:space="preserve">։ Հիմնական փաստաթղթերը, ինչպիսիք են «Ազգային անվտանգության ռազմավարությունը» և «Ռազմական դոկտրինը», հաստատվել են Նախագահի հրամանագրով՝ առանց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Խ</w:t>
      </w:r>
      <w:r w:rsidRPr="0016723D">
        <w:rPr>
          <w:rFonts w:ascii="Arian AMU" w:hAnsi="Arian AMU" w:cs="Arian AMU"/>
          <w:sz w:val="20"/>
          <w:szCs w:val="20"/>
        </w:rPr>
        <w:t xml:space="preserve">որհրդարանի մասնակցության։ Մյուս հիմնական տեքստերը քննարկվել են </w:t>
      </w:r>
      <w:r w:rsidR="00CF32FE" w:rsidRPr="0016723D">
        <w:rPr>
          <w:rFonts w:ascii="Arian AMU" w:hAnsi="Arian AMU" w:cs="Arian AMU"/>
          <w:sz w:val="20"/>
          <w:szCs w:val="20"/>
        </w:rPr>
        <w:t xml:space="preserve">բացառապես գործադիրի անդամներից 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 xml:space="preserve">բաղկացած </w:t>
      </w:r>
      <w:r w:rsidRPr="0016723D">
        <w:rPr>
          <w:rFonts w:ascii="Arian AMU" w:hAnsi="Arian AMU" w:cs="Arian AMU"/>
          <w:sz w:val="20"/>
          <w:szCs w:val="20"/>
        </w:rPr>
        <w:t>Անվտանգության խորհրդ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ում՝</w:t>
      </w:r>
      <w:r w:rsidRPr="0016723D">
        <w:rPr>
          <w:rFonts w:ascii="Arian AMU" w:hAnsi="Arian AMU" w:cs="Arian AMU"/>
          <w:sz w:val="20"/>
          <w:szCs w:val="20"/>
        </w:rPr>
        <w:t xml:space="preserve"> ամբողջությամբ շրջանցել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ով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Խ</w:t>
      </w:r>
      <w:r w:rsidRPr="0016723D">
        <w:rPr>
          <w:rFonts w:ascii="Arian AMU" w:hAnsi="Arian AMU" w:cs="Arian AMU"/>
          <w:sz w:val="20"/>
          <w:szCs w:val="20"/>
        </w:rPr>
        <w:t>որհրդարանը</w:t>
      </w:r>
      <w:r w:rsidR="00E75DB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0"/>
      </w:r>
      <w:r w:rsidRPr="0016723D">
        <w:rPr>
          <w:rFonts w:ascii="Arian AMU" w:hAnsi="Arian AMU" w:cs="Arian AMU"/>
          <w:sz w:val="20"/>
          <w:szCs w:val="20"/>
        </w:rPr>
        <w:t xml:space="preserve">: Գործադիրը և վերջինիս գործարար դաշնակիցները 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անմիջական</w:t>
      </w:r>
      <w:r w:rsidRPr="0016723D">
        <w:rPr>
          <w:rFonts w:ascii="Arian AMU" w:hAnsi="Arian AMU" w:cs="Arian AMU"/>
          <w:sz w:val="20"/>
          <w:szCs w:val="20"/>
        </w:rPr>
        <w:t xml:space="preserve"> ազդեցություն են ունեցել օրենսդիր մարմնի վրա՝ սահմանափակելով  վերահսկողական գործունեություն իրականացնելու նրա կարողությունները և ունակությունը՝  օրենսդիր մարմինը վերածելով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 xml:space="preserve">զուտ 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 xml:space="preserve">ներկայացված </w:t>
      </w:r>
      <w:r w:rsidRPr="0016723D">
        <w:rPr>
          <w:rFonts w:ascii="Arian AMU" w:hAnsi="Arian AMU" w:cs="Arian AMU"/>
          <w:sz w:val="20"/>
          <w:szCs w:val="20"/>
        </w:rPr>
        <w:t xml:space="preserve">օրենքների </w:t>
      </w:r>
      <w:r w:rsidR="00CF32FE" w:rsidRPr="0016723D">
        <w:rPr>
          <w:rFonts w:ascii="Arian AMU" w:hAnsi="Arian AMU" w:cs="Arian AMU"/>
          <w:sz w:val="20"/>
          <w:szCs w:val="20"/>
        </w:rPr>
        <w:t>նախագծերը</w:t>
      </w:r>
      <w:r w:rsidRPr="0016723D">
        <w:rPr>
          <w:rFonts w:ascii="Arian AMU" w:hAnsi="Arian AMU" w:cs="Arian AMU"/>
          <w:sz w:val="20"/>
          <w:szCs w:val="20"/>
        </w:rPr>
        <w:t xml:space="preserve"> հաստատ</w:t>
      </w:r>
      <w:r w:rsidR="00CF32FE" w:rsidRPr="0016723D">
        <w:rPr>
          <w:rFonts w:ascii="Arian AMU" w:hAnsi="Arian AMU" w:cs="Arian AMU"/>
          <w:sz w:val="20"/>
          <w:szCs w:val="20"/>
          <w:lang w:val="en-US"/>
        </w:rPr>
        <w:t>ող</w:t>
      </w:r>
      <w:r w:rsidRPr="0016723D">
        <w:rPr>
          <w:rFonts w:ascii="Arian AMU" w:hAnsi="Arian AMU" w:cs="Arian AMU"/>
          <w:sz w:val="20"/>
          <w:szCs w:val="20"/>
        </w:rPr>
        <w:t xml:space="preserve"> հարթակի։ Բացի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այդ</w:t>
      </w:r>
      <w:r w:rsidRPr="0016723D">
        <w:rPr>
          <w:rFonts w:ascii="Arian AMU" w:hAnsi="Arian AMU" w:cs="Arian AMU"/>
          <w:sz w:val="20"/>
          <w:szCs w:val="20"/>
        </w:rPr>
        <w:t xml:space="preserve">, Ազգային ժողովում առկա էր </w:t>
      </w:r>
      <w:r w:rsidR="006813E5" w:rsidRPr="0016723D">
        <w:rPr>
          <w:rFonts w:ascii="Arian AMU" w:hAnsi="Arian AMU" w:cs="Arian AMU"/>
          <w:sz w:val="20"/>
          <w:szCs w:val="20"/>
        </w:rPr>
        <w:t>խիստ</w:t>
      </w:r>
      <w:r w:rsidRPr="0016723D">
        <w:rPr>
          <w:rFonts w:ascii="Arian AMU" w:hAnsi="Arian AMU" w:cs="Arian AMU"/>
          <w:sz w:val="20"/>
          <w:szCs w:val="20"/>
        </w:rPr>
        <w:t xml:space="preserve"> սահմանափակ փորձագիտ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ական ներուժ</w:t>
      </w:r>
      <w:r w:rsidRPr="0016723D">
        <w:rPr>
          <w:rFonts w:ascii="Arian AMU" w:hAnsi="Arian AMU" w:cs="Arian AMU"/>
          <w:sz w:val="20"/>
          <w:szCs w:val="20"/>
        </w:rPr>
        <w:t xml:space="preserve">՝ որակյալ վերահսկողություն ապահովելու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հ</w:t>
      </w:r>
      <w:r w:rsidRPr="0016723D">
        <w:rPr>
          <w:rFonts w:ascii="Arian AMU" w:hAnsi="Arian AMU" w:cs="Arian AMU"/>
          <w:sz w:val="20"/>
          <w:szCs w:val="20"/>
        </w:rPr>
        <w:t xml:space="preserve">ամար. 2019 թվականին Պաշտպանության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 xml:space="preserve">հարցերով </w:t>
      </w:r>
      <w:r w:rsidRPr="0016723D">
        <w:rPr>
          <w:rFonts w:ascii="Arian AMU" w:hAnsi="Arian AMU" w:cs="Arian AMU"/>
          <w:sz w:val="20"/>
          <w:szCs w:val="20"/>
        </w:rPr>
        <w:t>հանձնաժողովի տասնմեկ անդամներից միայն երկուսն էին տիրապետում ոլորտի գիտելիքների</w:t>
      </w:r>
      <w:r w:rsidR="00E75DB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1"/>
      </w:r>
      <w:r w:rsidRPr="0016723D">
        <w:rPr>
          <w:rFonts w:ascii="Arian AMU" w:hAnsi="Arian AMU" w:cs="Arian AMU"/>
          <w:sz w:val="20"/>
          <w:szCs w:val="20"/>
        </w:rPr>
        <w:t xml:space="preserve">։ Այնուամենայնիվ, այդ ժամանակից ի վեր Ազգային Ժողովի աշխատակարգը փոփոխվել է.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ուժեղացվել</w:t>
      </w:r>
      <w:r w:rsidRPr="0016723D">
        <w:rPr>
          <w:rFonts w:ascii="Arian AMU" w:hAnsi="Arian AMU" w:cs="Arian AMU"/>
          <w:sz w:val="20"/>
          <w:szCs w:val="20"/>
        </w:rPr>
        <w:t xml:space="preserve"> է վերահսկողությունը գործադիրի նկատմամբ և մեծացվել է վերջինիս հաշվետվողականությունը </w:t>
      </w:r>
      <w:r w:rsidR="007F1F3A" w:rsidRPr="0016723D">
        <w:rPr>
          <w:rFonts w:ascii="Arian AMU" w:hAnsi="Arian AMU" w:cs="Arian AMU"/>
          <w:sz w:val="20"/>
          <w:szCs w:val="20"/>
        </w:rPr>
        <w:t>Խ</w:t>
      </w:r>
      <w:r w:rsidR="006813E5" w:rsidRPr="0016723D">
        <w:rPr>
          <w:rFonts w:ascii="Arian AMU" w:hAnsi="Arian AMU" w:cs="Arian AMU"/>
          <w:sz w:val="20"/>
          <w:szCs w:val="20"/>
        </w:rPr>
        <w:t>որհրդարանի առջև</w:t>
      </w:r>
      <w:r w:rsidRPr="0016723D">
        <w:rPr>
          <w:rFonts w:ascii="Arian AMU" w:hAnsi="Arian AMU" w:cs="Arian AMU"/>
          <w:sz w:val="20"/>
          <w:szCs w:val="20"/>
        </w:rPr>
        <w:t>, օրինակ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բյուջեի կատարման վերաբերյալ հաշվետվությունների պարտադիր ներկայացման միջոցով: Արդեն իսկ առկա են ապացույցներ, որ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Խ</w:t>
      </w:r>
      <w:r w:rsidRPr="0016723D">
        <w:rPr>
          <w:rFonts w:ascii="Arian AMU" w:hAnsi="Arian AMU" w:cs="Arian AMU"/>
          <w:sz w:val="20"/>
          <w:szCs w:val="20"/>
        </w:rPr>
        <w:t>որհրդարանը գնալով ավելի գործուն դեր է ստանձնում պաշտպանության հարցերի ուսումնասիրության առումով</w:t>
      </w:r>
      <w:r w:rsidR="00D51D7A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2"/>
      </w:r>
      <w:r w:rsidRPr="0016723D">
        <w:rPr>
          <w:rFonts w:ascii="Arian AMU" w:hAnsi="Arian AMU" w:cs="Arian AMU"/>
          <w:sz w:val="20"/>
          <w:szCs w:val="20"/>
        </w:rPr>
        <w:t>։ Այնուամենայնիվ, վերահսկողության համար դեռևս զգալի խոչընդոտներ կան: Խորհրդարանը չի կարող ուսումնասիրել հիմնական սպառազինությունների գնումները</w:t>
      </w:r>
      <w:r w:rsidR="00E75DB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3"/>
      </w:r>
      <w:r w:rsidRPr="0016723D">
        <w:rPr>
          <w:rFonts w:ascii="Arian AMU" w:hAnsi="Arian AMU" w:cs="Arian AMU"/>
          <w:sz w:val="20"/>
          <w:szCs w:val="20"/>
        </w:rPr>
        <w:t xml:space="preserve">, թեև Պաշտպանության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 xml:space="preserve">հարցերով </w:t>
      </w:r>
      <w:r w:rsidRPr="0016723D">
        <w:rPr>
          <w:rFonts w:ascii="Arian AMU" w:hAnsi="Arian AMU" w:cs="Arian AMU"/>
          <w:sz w:val="20"/>
          <w:szCs w:val="20"/>
        </w:rPr>
        <w:t xml:space="preserve">հանձնաժողովն իրավունք ունի փակ նիստերի ընթացքում մանրամասնորեն ուսումնասիրելու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 xml:space="preserve">կատարված </w:t>
      </w:r>
      <w:r w:rsidRPr="0016723D">
        <w:rPr>
          <w:rFonts w:ascii="Arian AMU" w:hAnsi="Arian AMU" w:cs="Arian AMU"/>
          <w:sz w:val="20"/>
          <w:szCs w:val="20"/>
        </w:rPr>
        <w:t>գաղտնի ծախսերը և բյուջետային հատկացումները: Այ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դուհանդերձ</w:t>
      </w:r>
      <w:r w:rsidRPr="0016723D">
        <w:rPr>
          <w:rFonts w:ascii="Arian AMU" w:hAnsi="Arian AMU" w:cs="Arian AMU"/>
          <w:sz w:val="20"/>
          <w:szCs w:val="20"/>
        </w:rPr>
        <w:t xml:space="preserve">, Պաշտպանության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 xml:space="preserve">հարցերով </w:t>
      </w:r>
      <w:r w:rsidRPr="0016723D">
        <w:rPr>
          <w:rFonts w:ascii="Arian AMU" w:hAnsi="Arian AMU" w:cs="Arian AMU"/>
          <w:sz w:val="20"/>
          <w:szCs w:val="20"/>
        </w:rPr>
        <w:t>հանձնաժողովը հաճախ  գործնականում չի իրացնում այս իրավունքը: Ֆինանսական վերահսկողություն իրականաց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վում է</w:t>
      </w:r>
      <w:r w:rsidRPr="0016723D">
        <w:rPr>
          <w:rFonts w:ascii="Arian AMU" w:hAnsi="Arian AMU" w:cs="Arian AMU"/>
          <w:sz w:val="20"/>
          <w:szCs w:val="20"/>
        </w:rPr>
        <w:t xml:space="preserve"> նաև Հաշվեքննիչ </w:t>
      </w:r>
      <w:r w:rsidR="006813E5" w:rsidRPr="0016723D">
        <w:rPr>
          <w:rFonts w:ascii="Arian AMU" w:hAnsi="Arian AMU" w:cs="Arian AMU"/>
          <w:sz w:val="20"/>
          <w:szCs w:val="20"/>
        </w:rPr>
        <w:t>պալատի կողմից</w:t>
      </w:r>
      <w:r w:rsidRPr="0016723D">
        <w:rPr>
          <w:rFonts w:ascii="Arian AMU" w:hAnsi="Arian AMU" w:cs="Arian AMU"/>
          <w:sz w:val="20"/>
          <w:szCs w:val="20"/>
        </w:rPr>
        <w:t xml:space="preserve">, որը պատասխանատու է պաշտպանության ոլորտի ծախսերի արտաքին </w:t>
      </w:r>
      <w:r w:rsidR="006813E5" w:rsidRPr="0016723D">
        <w:rPr>
          <w:rFonts w:ascii="Arian AMU" w:hAnsi="Arian AMU" w:cs="Arian AMU"/>
          <w:sz w:val="20"/>
          <w:szCs w:val="20"/>
        </w:rPr>
        <w:t>ստուգման</w:t>
      </w:r>
      <w:r w:rsidRPr="0016723D">
        <w:rPr>
          <w:rFonts w:ascii="Arian AMU" w:hAnsi="Arian AMU" w:cs="Arian AMU"/>
          <w:sz w:val="20"/>
          <w:szCs w:val="20"/>
        </w:rPr>
        <w:t xml:space="preserve"> համար</w:t>
      </w:r>
      <w:r w:rsidR="008450F4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4"/>
      </w:r>
      <w:r w:rsidRPr="0016723D">
        <w:rPr>
          <w:rFonts w:ascii="Arian AMU" w:hAnsi="Arian AMU" w:cs="Arian AMU"/>
          <w:sz w:val="20"/>
          <w:szCs w:val="20"/>
        </w:rPr>
        <w:t>։ Թեև Հաշվեքննիչ պալատն ակտիվ է պաշտպանության ոլորտի ծախսերն ուսումնասիրելու հարցում</w:t>
      </w:r>
      <w:r w:rsidR="008450F4" w:rsidRPr="0016723D">
        <w:rPr>
          <w:rStyle w:val="FootnoteReference"/>
          <w:rFonts w:ascii="Arian AMU" w:hAnsi="Arian AMU" w:cs="Arian AMU"/>
          <w:sz w:val="20"/>
          <w:szCs w:val="20"/>
        </w:rPr>
        <w:footnoteReference w:id="15"/>
      </w:r>
      <w:r w:rsidRPr="0016723D">
        <w:rPr>
          <w:rFonts w:ascii="Arian AMU" w:hAnsi="Arian AMU" w:cs="Arian AMU"/>
          <w:sz w:val="20"/>
          <w:szCs w:val="20"/>
        </w:rPr>
        <w:t xml:space="preserve">, սակայն ունի սահմանափակ լիազորություններ՝ ապահովելու իր առաջարկությունների կատարումը: Պաշտպանության նախարարության և Հաշվեքննիչ պալատի միջև վատ հաղորդակցությունը նշանակում է, որ առաջարկություններին հազվադեպ է ընթացք տրվում, և չկան դրանց իրականացման </w:t>
      </w:r>
      <w:r w:rsidR="006813E5" w:rsidRPr="0016723D">
        <w:rPr>
          <w:rFonts w:ascii="Arian AMU" w:hAnsi="Arian AMU" w:cs="Arian AMU"/>
          <w:sz w:val="20"/>
          <w:szCs w:val="20"/>
          <w:lang w:val="en-US"/>
        </w:rPr>
        <w:t>մոնիտորինգի</w:t>
      </w:r>
      <w:r w:rsidRPr="0016723D">
        <w:rPr>
          <w:rFonts w:ascii="Arian AMU" w:hAnsi="Arian AMU" w:cs="Arian AMU"/>
          <w:sz w:val="20"/>
          <w:szCs w:val="20"/>
        </w:rPr>
        <w:t xml:space="preserve"> պաշտոնական մեխանիզմներ:</w:t>
      </w:r>
    </w:p>
    <w:p w:rsidR="00E067B7" w:rsidRPr="0016723D" w:rsidRDefault="00E067B7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</w:p>
    <w:p w:rsidR="00535C6E" w:rsidRPr="0016723D" w:rsidRDefault="00535C6E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bookmarkStart w:id="2" w:name="_Toc48307259"/>
      <w:r w:rsidRPr="0016723D">
        <w:rPr>
          <w:rFonts w:ascii="Arian AMU" w:hAnsi="Arian AMU" w:cs="Arian AMU"/>
          <w:sz w:val="20"/>
          <w:szCs w:val="20"/>
        </w:rPr>
        <w:t>Ֆինանսական թափանցիկություն</w:t>
      </w:r>
    </w:p>
    <w:tbl>
      <w:tblPr>
        <w:tblStyle w:val="ListTable1Light-Accent5"/>
        <w:tblW w:w="9270" w:type="dxa"/>
        <w:tblLook w:val="04A0" w:firstRow="1" w:lastRow="0" w:firstColumn="1" w:lastColumn="0" w:noHBand="0" w:noVBand="1"/>
      </w:tblPr>
      <w:tblGrid>
        <w:gridCol w:w="5310"/>
        <w:gridCol w:w="3960"/>
      </w:tblGrid>
      <w:tr w:rsidR="00535C6E" w:rsidRPr="0016723D" w:rsidTr="00167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 w:val="restart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Պաշտպանությանն առնչվող տեղեկությունների հարցումների արձագանքման ցուցանիշները</w:t>
            </w:r>
          </w:p>
        </w:tc>
        <w:tc>
          <w:tcPr>
            <w:tcW w:w="396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(1) Լիարժեք հասանելիություն ստացածների %-ը՝ տվյալները տվյալները հանրությանը հասանելի չեն</w:t>
            </w:r>
          </w:p>
        </w:tc>
      </w:tr>
      <w:tr w:rsidR="00535C6E" w:rsidRPr="0016723D" w:rsidTr="00167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vMerge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(2) Չպատասխանված (կուտակված) հարցումների թիվը՝ տվյալները հանրությանը հասանելի չեն</w:t>
            </w:r>
          </w:p>
        </w:tc>
      </w:tr>
      <w:tr w:rsidR="00535C6E" w:rsidRPr="0016723D" w:rsidTr="00167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Օմբուդսմենին/ՄԻՊ-ին ներկայացված՝ պաշտպանության հետ կապված բողոքների թիվը</w:t>
            </w:r>
          </w:p>
        </w:tc>
        <w:tc>
          <w:tcPr>
            <w:tcW w:w="3960" w:type="dxa"/>
          </w:tcPr>
          <w:p w:rsidR="00535C6E" w:rsidRPr="0016723D" w:rsidRDefault="00FC2174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Տ</w:t>
            </w:r>
            <w:r w:rsidR="00535C6E" w:rsidRPr="0016723D">
              <w:rPr>
                <w:rFonts w:ascii="Arian AMU" w:hAnsi="Arian AMU" w:cs="Arian AMU"/>
                <w:sz w:val="20"/>
                <w:szCs w:val="20"/>
              </w:rPr>
              <w:t>վյալները հանրությանը հասանելի չեն</w:t>
            </w:r>
          </w:p>
        </w:tc>
      </w:tr>
      <w:tr w:rsidR="00535C6E" w:rsidRPr="0016723D" w:rsidTr="00167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535C6E" w:rsidRPr="0016723D" w:rsidRDefault="00FC2174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 xml:space="preserve">Արդյոք </w:t>
            </w:r>
            <w:r w:rsidR="00535C6E"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ՄԻՊ-ը լիազորություններ ունի՞ ՊՆ-ի 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նկատմամբ</w:t>
            </w:r>
          </w:p>
        </w:tc>
        <w:tc>
          <w:tcPr>
            <w:tcW w:w="396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Այո</w:t>
            </w:r>
          </w:p>
        </w:tc>
      </w:tr>
      <w:tr w:rsidR="00535C6E" w:rsidRPr="0016723D" w:rsidTr="00167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Պաշտպանության վերաբերյալ 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հաշվեքննիչ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 հաշվետվությունների (2018-2020) թիվը</w:t>
            </w:r>
          </w:p>
        </w:tc>
        <w:tc>
          <w:tcPr>
            <w:tcW w:w="3960" w:type="dxa"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2018-ին՝ ոչ մի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 xml:space="preserve">, 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>2019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-ին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նախատեսված էր մեկ հաշվետվություն, սակայն ներկայումս 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դրա ամփոփման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մասին տեղեկություն չկա</w:t>
            </w:r>
          </w:p>
        </w:tc>
      </w:tr>
      <w:tr w:rsidR="00535C6E" w:rsidRPr="0016723D" w:rsidTr="00167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Բյուջեի բաց հետազոտություն (IBP, 2019)</w:t>
            </w:r>
          </w:p>
        </w:tc>
        <w:tc>
          <w:tcPr>
            <w:tcW w:w="396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  <w:highlight w:val="yellow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Գնահատված չէ</w:t>
            </w:r>
          </w:p>
        </w:tc>
      </w:tr>
      <w:tr w:rsidR="00535C6E" w:rsidRPr="0016723D" w:rsidTr="00167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Մամուլի ազատության համաշխարհային ինդեքս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 (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Լրագրողներ առանց սահմանների՝ RSF, 2021)</w:t>
            </w:r>
          </w:p>
        </w:tc>
        <w:tc>
          <w:tcPr>
            <w:tcW w:w="3960" w:type="dxa"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180-ից 63-րդը</w:t>
            </w:r>
          </w:p>
        </w:tc>
      </w:tr>
    </w:tbl>
    <w:p w:rsidR="00EC533A" w:rsidRPr="0016723D" w:rsidRDefault="002777A3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Հայաստանում կառավարության որոշումների կայացման 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 xml:space="preserve">շուրջ հստակությունը </w:t>
      </w:r>
      <w:r w:rsidRPr="0016723D">
        <w:rPr>
          <w:rFonts w:ascii="Arian AMU" w:hAnsi="Arian AMU" w:cs="Arian AMU"/>
          <w:sz w:val="20"/>
          <w:szCs w:val="20"/>
        </w:rPr>
        <w:t>պատմականորեն սահմանափակ է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 xml:space="preserve"> եղել</w:t>
      </w:r>
      <w:r w:rsidRPr="0016723D">
        <w:rPr>
          <w:rFonts w:ascii="Arian AMU" w:hAnsi="Arian AMU" w:cs="Arian AMU"/>
          <w:sz w:val="20"/>
          <w:szCs w:val="20"/>
        </w:rPr>
        <w:t>. նախորդ վարչակազմեր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ը վարել են ոչ թափանցիկ</w:t>
      </w:r>
      <w:r w:rsidRPr="0016723D">
        <w:rPr>
          <w:rFonts w:ascii="Arian AMU" w:hAnsi="Arian AMU" w:cs="Arian AMU"/>
          <w:sz w:val="20"/>
          <w:szCs w:val="20"/>
        </w:rPr>
        <w:t xml:space="preserve"> քաղաքականություն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16"/>
      </w:r>
      <w:r w:rsidRPr="0016723D">
        <w:rPr>
          <w:rFonts w:ascii="Arian AMU" w:hAnsi="Arian AMU" w:cs="Arian AMU"/>
          <w:sz w:val="20"/>
          <w:szCs w:val="20"/>
        </w:rPr>
        <w:t>։ Թափանցիկության պակասը վաղուց բնորոշ է եղել նաև պաշտպանության ոլորտին, մասնավորապես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ֆինանսական կառավարմանը։ Պաշտպանության ոլորտում տեղեկատվության  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մատչելիությունը</w:t>
      </w:r>
      <w:r w:rsidRPr="0016723D">
        <w:rPr>
          <w:rFonts w:ascii="Arian AMU" w:hAnsi="Arian AMU" w:cs="Arian AMU"/>
          <w:sz w:val="20"/>
          <w:szCs w:val="20"/>
        </w:rPr>
        <w:t xml:space="preserve"> կարգավորվում է երկու օրենքներով</w:t>
      </w:r>
      <w:r w:rsidR="00BB526E" w:rsidRPr="0016723D">
        <w:rPr>
          <w:rFonts w:ascii="Arian AMU" w:hAnsi="Arian AMU" w:cs="Arian AMU"/>
          <w:sz w:val="20"/>
          <w:szCs w:val="20"/>
        </w:rPr>
        <w:t>:</w:t>
      </w:r>
      <w:r w:rsidRPr="0016723D">
        <w:rPr>
          <w:rFonts w:ascii="Arian AMU" w:hAnsi="Arian AMU" w:cs="Arian AMU"/>
          <w:sz w:val="20"/>
          <w:szCs w:val="20"/>
        </w:rPr>
        <w:t xml:space="preserve"> «Տեղեկատվության ազատության մասին» օրենքն ապահովում է պետական </w:t>
      </w:r>
      <w:r w:rsidRPr="0016723D">
        <w:rPr>
          <w:rFonts w:ascii="Times New Roman" w:hAnsi="Times New Roman" w:cs="Times New Roman"/>
          <w:sz w:val="20"/>
          <w:szCs w:val="20"/>
        </w:rPr>
        <w:t>​​</w:t>
      </w:r>
      <w:r w:rsidRPr="0016723D">
        <w:rPr>
          <w:rFonts w:ascii="Arian AMU" w:hAnsi="Arian AMU" w:cs="Arian AMU"/>
          <w:sz w:val="20"/>
          <w:szCs w:val="20"/>
        </w:rPr>
        <w:t>կառույցների կողմից տնօրինվող տեղեկությունների՝ հանրության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 xml:space="preserve"> համար հասանելիությունը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17"/>
      </w:r>
      <w:r w:rsidRPr="0016723D">
        <w:rPr>
          <w:rFonts w:ascii="Arian AMU" w:hAnsi="Arian AMU" w:cs="Arian AMU"/>
          <w:sz w:val="20"/>
          <w:szCs w:val="20"/>
        </w:rPr>
        <w:t xml:space="preserve">։ 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Մյուս կողմից՝</w:t>
      </w:r>
      <w:r w:rsidRPr="0016723D">
        <w:rPr>
          <w:rFonts w:ascii="Arian AMU" w:hAnsi="Arian AMU" w:cs="Arian AMU"/>
          <w:sz w:val="20"/>
          <w:szCs w:val="20"/>
        </w:rPr>
        <w:t xml:space="preserve"> «Պետական </w:t>
      </w:r>
      <w:r w:rsidRPr="0016723D">
        <w:rPr>
          <w:rFonts w:ascii="Times New Roman" w:hAnsi="Times New Roman" w:cs="Times New Roman"/>
          <w:sz w:val="20"/>
          <w:szCs w:val="20"/>
        </w:rPr>
        <w:t>​​</w:t>
      </w:r>
      <w:r w:rsidRPr="0016723D">
        <w:rPr>
          <w:rFonts w:ascii="Arian AMU" w:hAnsi="Arian AMU" w:cs="Arian AMU"/>
          <w:sz w:val="20"/>
          <w:szCs w:val="20"/>
        </w:rPr>
        <w:t>և ծառայողական գաղտնիքի մասին» օրենքը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փաստորեն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տվյալ</w:t>
      </w:r>
      <w:r w:rsidRPr="0016723D">
        <w:rPr>
          <w:rFonts w:ascii="Arian AMU" w:hAnsi="Arian AMU" w:cs="Arian AMU"/>
          <w:sz w:val="20"/>
          <w:szCs w:val="20"/>
        </w:rPr>
        <w:t xml:space="preserve"> դրույթը դարձնում է ա</w:t>
      </w:r>
      <w:r w:rsidR="00BB526E" w:rsidRPr="0016723D">
        <w:rPr>
          <w:rFonts w:ascii="Arian AMU" w:hAnsi="Arian AMU" w:cs="Arian AMU"/>
          <w:sz w:val="20"/>
          <w:szCs w:val="20"/>
          <w:lang w:val="en-US"/>
        </w:rPr>
        <w:t>պարդյուն</w:t>
      </w:r>
      <w:r w:rsidRPr="0016723D">
        <w:rPr>
          <w:rFonts w:ascii="Arian AMU" w:hAnsi="Arian AMU" w:cs="Arian AMU"/>
          <w:sz w:val="20"/>
          <w:szCs w:val="20"/>
        </w:rPr>
        <w:t>՝ թույլ տալով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 xml:space="preserve"> գաղտնագրել</w:t>
      </w:r>
      <w:r w:rsidRPr="0016723D">
        <w:rPr>
          <w:rFonts w:ascii="Arian AMU" w:hAnsi="Arian AMU" w:cs="Arian AMU"/>
          <w:sz w:val="20"/>
          <w:szCs w:val="20"/>
        </w:rPr>
        <w:t xml:space="preserve"> պաշտպանությանը վերաբերող հիմնական տեղեկություններ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ը</w:t>
      </w:r>
      <w:r w:rsidRPr="0016723D">
        <w:rPr>
          <w:rFonts w:ascii="Arian AMU" w:hAnsi="Arian AMU" w:cs="Arian AMU"/>
          <w:sz w:val="20"/>
          <w:szCs w:val="20"/>
        </w:rPr>
        <w:t>, որոնց  տարածումը կարող է ծանր հետևանքներ առաջացնել  ազգային անվտանգության համար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18"/>
      </w:r>
      <w:r w:rsidRPr="0016723D">
        <w:rPr>
          <w:rFonts w:ascii="Arian AMU" w:hAnsi="Arian AMU" w:cs="Arian AMU"/>
          <w:sz w:val="20"/>
          <w:szCs w:val="20"/>
        </w:rPr>
        <w:t>։ Սա իշխանություններին լայն հնարավորություն է տալիս կամայականորեն մերժելու տեղեկությունների հարցումները</w:t>
      </w:r>
      <w:r w:rsidR="00D92368" w:rsidRPr="0016723D">
        <w:rPr>
          <w:rFonts w:ascii="Arian AMU" w:hAnsi="Arian AMU" w:cs="Arian AMU"/>
          <w:sz w:val="20"/>
          <w:szCs w:val="20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նույնիսկ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,</w:t>
      </w:r>
      <w:r w:rsidRPr="0016723D">
        <w:rPr>
          <w:rFonts w:ascii="Arian AMU" w:hAnsi="Arian AMU" w:cs="Arian AMU"/>
          <w:sz w:val="20"/>
          <w:szCs w:val="20"/>
        </w:rPr>
        <w:t xml:space="preserve"> եթե դրանք վերաբերում են ոչ զգայուն տվյալներին: Թափանցիկության այս պակասն ակնհայտ է նաև պաշտպանության բյուջեի հետ կապված գաղտնիության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պարագայում,</w:t>
      </w:r>
      <w:r w:rsidRPr="0016723D">
        <w:rPr>
          <w:rFonts w:ascii="Arian AMU" w:hAnsi="Arian AMU" w:cs="Arian AMU"/>
          <w:sz w:val="20"/>
          <w:szCs w:val="20"/>
        </w:rPr>
        <w:t xml:space="preserve"> որի մեծ մասը հանրությանը չի բացահայտվում: Հրապարակվում են միայն ընդհանուր կետեր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ն</w:t>
      </w:r>
      <w:r w:rsidRPr="0016723D">
        <w:rPr>
          <w:rFonts w:ascii="Arian AMU" w:hAnsi="Arian AMU" w:cs="Arian AMU"/>
          <w:sz w:val="20"/>
          <w:szCs w:val="20"/>
        </w:rPr>
        <w:t xml:space="preserve">՝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 xml:space="preserve">առանց բավարար հստակ </w:t>
      </w:r>
      <w:r w:rsidRPr="0016723D">
        <w:rPr>
          <w:rFonts w:ascii="Arian AMU" w:hAnsi="Arian AMU" w:cs="Arian AMU"/>
          <w:sz w:val="20"/>
          <w:szCs w:val="20"/>
        </w:rPr>
        <w:t xml:space="preserve">մանրամասների,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իսկ</w:t>
      </w:r>
      <w:r w:rsidRPr="0016723D">
        <w:rPr>
          <w:rFonts w:ascii="Arian AMU" w:hAnsi="Arian AMU" w:cs="Arian AMU"/>
          <w:sz w:val="20"/>
          <w:szCs w:val="20"/>
        </w:rPr>
        <w:t xml:space="preserve"> թվերը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ներկայացվում են՝ խմբավորվ</w:t>
      </w:r>
      <w:r w:rsidRPr="0016723D">
        <w:rPr>
          <w:rFonts w:ascii="Arian AMU" w:hAnsi="Arian AMU" w:cs="Arian AMU"/>
          <w:sz w:val="20"/>
          <w:szCs w:val="20"/>
        </w:rPr>
        <w:t>ած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19"/>
      </w:r>
      <w:r w:rsidRPr="0016723D">
        <w:rPr>
          <w:rFonts w:ascii="Arian AMU" w:hAnsi="Arian AMU" w:cs="Arian AMU"/>
          <w:sz w:val="20"/>
          <w:szCs w:val="20"/>
        </w:rPr>
        <w:t xml:space="preserve">։ Ֆինանսական թափանցիկությունն է՛լ ավելի է խաթարվում պաշտպանության ոլորտում արտաբյուջետային ծախսերի պատճառով: Թեև այս միջոցները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 xml:space="preserve">ենթակա են հաստատման </w:t>
      </w:r>
      <w:r w:rsidRPr="0016723D">
        <w:rPr>
          <w:rFonts w:ascii="Arian AMU" w:hAnsi="Arian AMU" w:cs="Arian AMU"/>
          <w:sz w:val="20"/>
          <w:szCs w:val="20"/>
        </w:rPr>
        <w:t xml:space="preserve">կառավարության 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կողմից</w:t>
      </w:r>
      <w:r w:rsidRPr="0016723D">
        <w:rPr>
          <w:rFonts w:ascii="Arian AMU" w:hAnsi="Arian AMU" w:cs="Arian AMU"/>
          <w:sz w:val="20"/>
          <w:szCs w:val="20"/>
        </w:rPr>
        <w:t>, և նախարարություններից պահանջվում է հաշվետվություններ ներկայացնել արտաբյուջետային ծախսերի վերաբերյալ</w:t>
      </w:r>
      <w:r w:rsidR="00AA6D55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0"/>
      </w:r>
      <w:r w:rsidRPr="0016723D">
        <w:rPr>
          <w:rFonts w:ascii="Arian AMU" w:hAnsi="Arian AMU" w:cs="Arian AMU"/>
          <w:sz w:val="20"/>
          <w:szCs w:val="20"/>
        </w:rPr>
        <w:t>, Պաշտպանության նախարարության մասին տեղեկություններ առկա չեն։ Թափանցիկության այս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պիսի</w:t>
      </w:r>
      <w:r w:rsidRPr="0016723D">
        <w:rPr>
          <w:rFonts w:ascii="Arian AMU" w:hAnsi="Arian AMU" w:cs="Arian AMU"/>
          <w:sz w:val="20"/>
          <w:szCs w:val="20"/>
        </w:rPr>
        <w:t xml:space="preserve"> բաց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ը</w:t>
      </w:r>
      <w:r w:rsidRPr="0016723D">
        <w:rPr>
          <w:rFonts w:ascii="Arian AMU" w:hAnsi="Arian AMU" w:cs="Arian AMU"/>
          <w:sz w:val="20"/>
          <w:szCs w:val="20"/>
        </w:rPr>
        <w:t xml:space="preserve"> մեծացնում է կոռուպցիայի նկատմամբ խոցելիությունը և խարխլում է </w:t>
      </w:r>
      <w:r w:rsidR="00D92368" w:rsidRPr="0016723D">
        <w:rPr>
          <w:rFonts w:ascii="Arian AMU" w:hAnsi="Arian AMU" w:cs="Arian AMU"/>
          <w:sz w:val="20"/>
          <w:szCs w:val="20"/>
        </w:rPr>
        <w:t>բյուջետային ծախսերի</w:t>
      </w:r>
      <w:r w:rsidRPr="0016723D">
        <w:rPr>
          <w:rFonts w:ascii="Arian AMU" w:hAnsi="Arian AMU" w:cs="Arian AMU"/>
          <w:sz w:val="20"/>
          <w:szCs w:val="20"/>
        </w:rPr>
        <w:t xml:space="preserve"> արժանահավատությունը՝ վերահսկող</w:t>
      </w:r>
      <w:r w:rsidR="00D92368" w:rsidRPr="0016723D">
        <w:rPr>
          <w:rFonts w:ascii="Arian AMU" w:hAnsi="Arian AMU" w:cs="Arian AMU"/>
          <w:sz w:val="20"/>
          <w:szCs w:val="20"/>
          <w:lang w:val="en-US"/>
        </w:rPr>
        <w:t>ության ընթացքում</w:t>
      </w:r>
      <w:r w:rsidR="00AA6D55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1"/>
      </w:r>
      <w:r w:rsidRPr="0016723D">
        <w:rPr>
          <w:rFonts w:ascii="Arian AMU" w:hAnsi="Arian AMU" w:cs="Arian AMU"/>
          <w:sz w:val="20"/>
          <w:szCs w:val="20"/>
        </w:rPr>
        <w:t>։</w:t>
      </w:r>
    </w:p>
    <w:p w:rsidR="00250ECD" w:rsidRPr="0016723D" w:rsidRDefault="00250ECD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</w:p>
    <w:p w:rsidR="000A0727" w:rsidRPr="0016723D" w:rsidRDefault="000A0727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Անձնակազմի </w:t>
      </w:r>
      <w:r w:rsidR="003625C0">
        <w:rPr>
          <w:rFonts w:ascii="Arian AMU" w:hAnsi="Arian AMU" w:cs="Arian AMU"/>
          <w:sz w:val="20"/>
          <w:szCs w:val="20"/>
        </w:rPr>
        <w:t>էթիկա</w:t>
      </w:r>
      <w:r w:rsidR="008E16FC">
        <w:rPr>
          <w:rFonts w:ascii="Arian AMU" w:hAnsi="Arian AMU" w:cs="Arian AMU"/>
          <w:sz w:val="20"/>
          <w:szCs w:val="20"/>
          <w:lang w:val="en-US"/>
        </w:rPr>
        <w:t>յի համակարգ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</w:p>
    <w:tbl>
      <w:tblPr>
        <w:tblStyle w:val="ListTable1Light-Accent5"/>
        <w:tblW w:w="9090" w:type="dxa"/>
        <w:tblLook w:val="04A0" w:firstRow="1" w:lastRow="0" w:firstColumn="1" w:lastColumn="0" w:noHBand="0" w:noVBand="1"/>
      </w:tblPr>
      <w:tblGrid>
        <w:gridCol w:w="3240"/>
        <w:gridCol w:w="5850"/>
      </w:tblGrid>
      <w:tr w:rsidR="000A0727" w:rsidRPr="0016723D" w:rsidTr="00250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Ազդարարման վերաբերյալ օրենսդրություն</w:t>
            </w:r>
          </w:p>
        </w:tc>
        <w:tc>
          <w:tcPr>
            <w:tcW w:w="585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«Ազդարարման համակարգի մասին» օրենք (2018)</w:t>
            </w:r>
            <w:r w:rsidRPr="0016723D">
              <w:rPr>
                <w:rStyle w:val="FootnoteReference"/>
                <w:rFonts w:ascii="Arian AMU" w:hAnsi="Arian AMU" w:cs="Arian AMU"/>
                <w:b w:val="0"/>
                <w:sz w:val="20"/>
                <w:szCs w:val="20"/>
              </w:rPr>
              <w:footnoteReference w:id="22"/>
            </w:r>
          </w:p>
        </w:tc>
      </w:tr>
      <w:tr w:rsidR="000A0727" w:rsidRPr="0016723D" w:rsidTr="0025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Պաշտպանության ոլորտի ազդարարման դեպքերի թիվը</w:t>
            </w:r>
          </w:p>
        </w:tc>
        <w:tc>
          <w:tcPr>
            <w:tcW w:w="5850" w:type="dxa"/>
          </w:tcPr>
          <w:p w:rsidR="000A0727" w:rsidRPr="0016723D" w:rsidRDefault="00FC2174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Տ</w:t>
            </w:r>
            <w:r w:rsidR="000A0727" w:rsidRPr="0016723D">
              <w:rPr>
                <w:rFonts w:ascii="Arian AMU" w:hAnsi="Arian AMU" w:cs="Arian AMU"/>
                <w:sz w:val="20"/>
                <w:szCs w:val="20"/>
              </w:rPr>
              <w:t>վյալները հանրությանը հասանելի չեն</w:t>
            </w:r>
          </w:p>
        </w:tc>
      </w:tr>
      <w:tr w:rsidR="000A0727" w:rsidRPr="0016723D" w:rsidTr="0025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FC2174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Վարք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ա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կանոն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ներ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ի խախտումների թիվը</w:t>
            </w:r>
          </w:p>
        </w:tc>
        <w:tc>
          <w:tcPr>
            <w:tcW w:w="585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Ռազմական՝ տվյալները հանրությանը հասանելի չեն</w:t>
            </w:r>
          </w:p>
        </w:tc>
      </w:tr>
      <w:tr w:rsidR="000A0727" w:rsidRPr="0016723D" w:rsidTr="0025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sz w:val="20"/>
                <w:szCs w:val="20"/>
              </w:rPr>
            </w:pPr>
          </w:p>
        </w:tc>
        <w:tc>
          <w:tcPr>
            <w:tcW w:w="585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Քաղաքացիական՝ տվյալները հանրությանը հասանելի չեն</w:t>
            </w:r>
          </w:p>
        </w:tc>
      </w:tr>
      <w:tr w:rsidR="000A0727" w:rsidRPr="0016723D" w:rsidTr="0025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Ֆինանսական բացահայտումների համակարգ</w:t>
            </w:r>
          </w:p>
        </w:tc>
        <w:tc>
          <w:tcPr>
            <w:tcW w:w="5850" w:type="dxa"/>
          </w:tcPr>
          <w:p w:rsidR="000A0727" w:rsidRPr="0016723D" w:rsidRDefault="000A0727" w:rsidP="00FC2174">
            <w:pPr>
              <w:spacing w:before="100" w:beforeAutospacing="1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Ներկայացված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ների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թիվը՝ տվյալները հանրությանը հասանելի չեն</w:t>
            </w:r>
          </w:p>
        </w:tc>
      </w:tr>
      <w:tr w:rsidR="000A0727" w:rsidRPr="0016723D" w:rsidTr="0025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sz w:val="20"/>
                <w:szCs w:val="20"/>
              </w:rPr>
            </w:pPr>
          </w:p>
        </w:tc>
        <w:tc>
          <w:tcPr>
            <w:tcW w:w="5850" w:type="dxa"/>
          </w:tcPr>
          <w:p w:rsidR="000A0727" w:rsidRPr="0016723D" w:rsidRDefault="000A0727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Խախտումների թիվը՝ տվյալները հանրությանը հասանելի չեն</w:t>
            </w:r>
          </w:p>
        </w:tc>
      </w:tr>
    </w:tbl>
    <w:bookmarkEnd w:id="2"/>
    <w:p w:rsidR="004C6367" w:rsidRPr="0016723D" w:rsidRDefault="004C6367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«Ազդարարման համակարգի մասին» Հայաստանի օրենքը ուժի մեջ է մտել 2018 թվականի հունվարին և սահմանում է ազդարարների իրավունքներն ու պարտականությունները, այդ թվում՝ պաշտպանական </w:t>
      </w:r>
      <w:r w:rsidR="00353F19" w:rsidRPr="0016723D">
        <w:rPr>
          <w:rFonts w:ascii="Arian AMU" w:hAnsi="Arian AMU" w:cs="Arian AMU"/>
          <w:sz w:val="20"/>
          <w:szCs w:val="20"/>
          <w:lang w:val="en-US"/>
        </w:rPr>
        <w:t>հաստատությունների առնչությամբ</w:t>
      </w:r>
      <w:r w:rsidR="004B2CEA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3"/>
      </w:r>
      <w:r w:rsidRPr="0016723D">
        <w:rPr>
          <w:rFonts w:ascii="Arian AMU" w:hAnsi="Arian AMU" w:cs="Arian AMU"/>
          <w:sz w:val="20"/>
          <w:szCs w:val="20"/>
        </w:rPr>
        <w:t xml:space="preserve">։ Օրենսդրությունը հիմնականում </w:t>
      </w:r>
      <w:r w:rsidR="00353F19" w:rsidRPr="0016723D">
        <w:rPr>
          <w:rFonts w:ascii="Arian AMU" w:hAnsi="Arian AMU" w:cs="Arian AMU"/>
          <w:sz w:val="20"/>
          <w:szCs w:val="20"/>
          <w:lang w:val="en-US"/>
        </w:rPr>
        <w:t xml:space="preserve">համընդգրկուն </w:t>
      </w:r>
      <w:r w:rsidRPr="0016723D">
        <w:rPr>
          <w:rFonts w:ascii="Arian AMU" w:hAnsi="Arian AMU" w:cs="Arian AMU"/>
          <w:sz w:val="20"/>
          <w:szCs w:val="20"/>
        </w:rPr>
        <w:t>է,  ամրագրում է ազդարարների պաշտպանության, անանունության և անձնական տվյալների չբացահայտման իրավունքը</w:t>
      </w:r>
      <w:r w:rsidR="00286FBE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4"/>
      </w:r>
      <w:r w:rsidRPr="0016723D">
        <w:rPr>
          <w:rFonts w:ascii="Arian AMU" w:hAnsi="Arian AMU" w:cs="Arian AMU"/>
          <w:sz w:val="20"/>
          <w:szCs w:val="20"/>
        </w:rPr>
        <w:t xml:space="preserve">։ Պաշտպանության ոլորտում 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տվյալ </w:t>
      </w:r>
      <w:r w:rsidRPr="0016723D">
        <w:rPr>
          <w:rFonts w:ascii="Arian AMU" w:hAnsi="Arian AMU" w:cs="Arian AMU"/>
          <w:sz w:val="20"/>
          <w:szCs w:val="20"/>
        </w:rPr>
        <w:t>օրենսդրության կիրարկման և ազդարարների հաղորդումների մշակման պատասխանատու մարմին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ը </w:t>
      </w:r>
      <w:r w:rsidR="009F2069" w:rsidRPr="0016723D">
        <w:rPr>
          <w:rFonts w:ascii="Arian AMU" w:hAnsi="Arian AMU" w:cs="Arian AMU"/>
          <w:sz w:val="20"/>
          <w:szCs w:val="20"/>
        </w:rPr>
        <w:t xml:space="preserve">Պաշտպանության նախարարության Մարդու իրավունքների և բարեվարքության ամրապնդման </w:t>
      </w:r>
      <w:r w:rsidR="009F2069" w:rsidRPr="0016723D">
        <w:rPr>
          <w:rFonts w:ascii="Arian AMU" w:hAnsi="Arian AMU" w:cs="Arian AMU"/>
          <w:sz w:val="20"/>
          <w:szCs w:val="20"/>
        </w:rPr>
        <w:t>կենտրոն</w:t>
      </w:r>
      <w:r w:rsidRPr="0016723D">
        <w:rPr>
          <w:rFonts w:ascii="Arian AMU" w:hAnsi="Arian AMU" w:cs="Arian AMU"/>
          <w:sz w:val="20"/>
          <w:szCs w:val="20"/>
        </w:rPr>
        <w:t>ն է</w:t>
      </w:r>
      <w:r w:rsidR="000A0727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5"/>
      </w:r>
      <w:r w:rsidRPr="0016723D">
        <w:rPr>
          <w:rFonts w:ascii="Arian AMU" w:hAnsi="Arian AMU" w:cs="Arian AMU"/>
          <w:sz w:val="20"/>
          <w:szCs w:val="20"/>
        </w:rPr>
        <w:t xml:space="preserve">։ Ինստիտուցիոնալ 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տեսանկյունից՝ այս </w:t>
      </w:r>
      <w:r w:rsidR="009F2069" w:rsidRPr="0016723D">
        <w:rPr>
          <w:rFonts w:ascii="Arian AMU" w:hAnsi="Arian AMU" w:cs="Arian AMU"/>
          <w:sz w:val="20"/>
          <w:szCs w:val="20"/>
        </w:rPr>
        <w:t>Կ</w:t>
      </w:r>
      <w:r w:rsidRPr="0016723D">
        <w:rPr>
          <w:rFonts w:ascii="Arian AMU" w:hAnsi="Arian AMU" w:cs="Arian AMU"/>
          <w:sz w:val="20"/>
          <w:szCs w:val="20"/>
        </w:rPr>
        <w:t xml:space="preserve">ենտրոնի անկախությունը և ազդարարներին պաշտպանելու ունակությունը կարող է սահմանափակվել այն փաստով, որ Կենտրոնն անմիջականորեն հաշվետու է Պաշտպանության նախարարին, և Կենտրոնի գործունեությունը ցանկացած պահի կարող է դադարեցվել նախարարի հրամանով։ Թեև դա կարող է Կենտրոնը </w:t>
      </w:r>
      <w:r w:rsidR="009F2069" w:rsidRPr="0016723D">
        <w:rPr>
          <w:rFonts w:ascii="Arian AMU" w:hAnsi="Arian AMU" w:cs="Arian AMU"/>
          <w:sz w:val="20"/>
          <w:szCs w:val="20"/>
        </w:rPr>
        <w:t xml:space="preserve">պաշտպանել </w:t>
      </w:r>
      <w:r w:rsidRPr="0016723D">
        <w:rPr>
          <w:rFonts w:ascii="Arian AMU" w:hAnsi="Arian AMU" w:cs="Arian AMU"/>
          <w:sz w:val="20"/>
          <w:szCs w:val="20"/>
        </w:rPr>
        <w:t xml:space="preserve">համակարգի ներսում գործող այլ </w:t>
      </w:r>
      <w:r w:rsidR="009F2069" w:rsidRPr="0016723D">
        <w:rPr>
          <w:rFonts w:ascii="Arian AMU" w:hAnsi="Arian AMU" w:cs="Arian AMU"/>
          <w:sz w:val="20"/>
          <w:szCs w:val="20"/>
        </w:rPr>
        <w:t>տարբե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>ր</w:t>
      </w:r>
      <w:r w:rsidR="009F2069" w:rsidRPr="0016723D">
        <w:rPr>
          <w:rFonts w:ascii="Arian AMU" w:hAnsi="Arian AMU" w:cs="Arian AMU"/>
          <w:sz w:val="20"/>
          <w:szCs w:val="20"/>
        </w:rPr>
        <w:t xml:space="preserve"> </w:t>
      </w:r>
      <w:r w:rsidRPr="0016723D">
        <w:rPr>
          <w:rFonts w:ascii="Arian AMU" w:hAnsi="Arian AMU" w:cs="Arian AMU"/>
          <w:sz w:val="20"/>
          <w:szCs w:val="20"/>
        </w:rPr>
        <w:t>ազդեցություն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>ներ</w:t>
      </w:r>
      <w:r w:rsidRPr="0016723D">
        <w:rPr>
          <w:rFonts w:ascii="Arian AMU" w:hAnsi="Arian AMU" w:cs="Arian AMU"/>
          <w:sz w:val="20"/>
          <w:szCs w:val="20"/>
        </w:rPr>
        <w:t xml:space="preserve">ից, սակայն 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դրանով այն </w:t>
      </w:r>
      <w:r w:rsidRPr="0016723D">
        <w:rPr>
          <w:rFonts w:ascii="Arian AMU" w:hAnsi="Arian AMU" w:cs="Arian AMU"/>
          <w:sz w:val="20"/>
          <w:szCs w:val="20"/>
        </w:rPr>
        <w:t>ավելի մեծ չափով է ենթակա դա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>ռնում</w:t>
      </w:r>
      <w:r w:rsidRPr="0016723D">
        <w:rPr>
          <w:rFonts w:ascii="Arian AMU" w:hAnsi="Arian AMU" w:cs="Arian AMU"/>
          <w:sz w:val="20"/>
          <w:szCs w:val="20"/>
        </w:rPr>
        <w:t xml:space="preserve"> Նախարարի որոշումների 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ներգործությանը, ինչը </w:t>
      </w:r>
      <w:r w:rsidRPr="0016723D">
        <w:rPr>
          <w:rFonts w:ascii="Arian AMU" w:hAnsi="Arian AMU" w:cs="Arian AMU"/>
          <w:sz w:val="20"/>
          <w:szCs w:val="20"/>
        </w:rPr>
        <w:t xml:space="preserve">կարող է հանգեցնել 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թերահավատության </w:t>
      </w:r>
      <w:r w:rsidRPr="0016723D">
        <w:rPr>
          <w:rFonts w:ascii="Arian AMU" w:hAnsi="Arian AMU" w:cs="Arian AMU"/>
          <w:sz w:val="20"/>
          <w:szCs w:val="20"/>
        </w:rPr>
        <w:t>պոտենցիալ ազդարարներ</w:t>
      </w:r>
      <w:r w:rsidR="009F2069" w:rsidRPr="0016723D">
        <w:rPr>
          <w:rFonts w:ascii="Arian AMU" w:hAnsi="Arian AMU" w:cs="Arian AMU"/>
          <w:sz w:val="20"/>
          <w:szCs w:val="20"/>
          <w:lang w:val="en-US"/>
        </w:rPr>
        <w:t xml:space="preserve">ի շրջանում: </w:t>
      </w:r>
      <w:r w:rsidR="007D765E" w:rsidRPr="0016723D">
        <w:rPr>
          <w:rFonts w:ascii="Arian AMU" w:hAnsi="Arian AMU" w:cs="Arian AMU"/>
          <w:sz w:val="20"/>
          <w:szCs w:val="20"/>
          <w:lang w:val="en-US"/>
        </w:rPr>
        <w:t xml:space="preserve">Մյուս բոլոր առումներով՝ </w:t>
      </w:r>
      <w:r w:rsidRPr="0016723D">
        <w:rPr>
          <w:rFonts w:ascii="Arian AMU" w:hAnsi="Arian AMU" w:cs="Arian AMU"/>
          <w:sz w:val="20"/>
          <w:szCs w:val="20"/>
        </w:rPr>
        <w:t>անձնակազմի համար սահմանված</w:t>
      </w:r>
      <w:r w:rsidR="007D765E" w:rsidRPr="0016723D">
        <w:rPr>
          <w:rFonts w:ascii="Arian AMU" w:hAnsi="Arian AMU" w:cs="Arian AMU"/>
          <w:sz w:val="20"/>
          <w:szCs w:val="20"/>
          <w:lang w:val="en-US"/>
        </w:rPr>
        <w:t xml:space="preserve"> և վարքականոններում ամրագրված</w:t>
      </w:r>
      <w:r w:rsidRPr="0016723D">
        <w:rPr>
          <w:rFonts w:ascii="Arian AMU" w:hAnsi="Arian AMU" w:cs="Arian AMU"/>
          <w:sz w:val="20"/>
          <w:szCs w:val="20"/>
        </w:rPr>
        <w:t xml:space="preserve"> հակակոռուպցիոն </w:t>
      </w:r>
      <w:r w:rsidR="007D765E" w:rsidRPr="0016723D">
        <w:rPr>
          <w:rFonts w:ascii="Arian AMU" w:hAnsi="Arian AMU" w:cs="Arian AMU"/>
          <w:sz w:val="20"/>
          <w:szCs w:val="20"/>
          <w:lang w:val="en-US"/>
        </w:rPr>
        <w:t>ստանդարտները</w:t>
      </w:r>
      <w:r w:rsidRPr="0016723D">
        <w:rPr>
          <w:rFonts w:ascii="Arian AMU" w:hAnsi="Arian AMU" w:cs="Arian AMU"/>
          <w:sz w:val="20"/>
          <w:szCs w:val="20"/>
        </w:rPr>
        <w:t xml:space="preserve"> թույլ են: Զինվորական անձնակազմի վարքագիծը կարգավորվում է «Զինված ուժերի կարգապահական կանոնագիրք»</w:t>
      </w:r>
      <w:r w:rsidR="001D3513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6"/>
      </w:r>
      <w:r w:rsidRPr="0016723D">
        <w:rPr>
          <w:rFonts w:ascii="Arian AMU" w:hAnsi="Arian AMU" w:cs="Arian AMU"/>
          <w:sz w:val="20"/>
          <w:szCs w:val="20"/>
        </w:rPr>
        <w:t xml:space="preserve"> և «Զինված ուժերի ներքին ծառայության կանոնագիրքը հաստատելու մասին»</w:t>
      </w:r>
      <w:r w:rsidR="001D3513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7"/>
      </w:r>
      <w:r w:rsidRPr="0016723D">
        <w:rPr>
          <w:rFonts w:ascii="Arian AMU" w:hAnsi="Arian AMU" w:cs="Arian AMU"/>
          <w:sz w:val="20"/>
          <w:szCs w:val="20"/>
        </w:rPr>
        <w:t xml:space="preserve"> օրենքներով: </w:t>
      </w:r>
      <w:r w:rsidR="007D765E" w:rsidRPr="0016723D">
        <w:rPr>
          <w:rFonts w:ascii="Arian AMU" w:hAnsi="Arian AMU" w:cs="Arian AMU"/>
          <w:sz w:val="20"/>
          <w:szCs w:val="20"/>
          <w:lang w:val="en-US"/>
        </w:rPr>
        <w:t xml:space="preserve">Մինչ այս </w:t>
      </w:r>
      <w:r w:rsidRPr="0016723D">
        <w:rPr>
          <w:rFonts w:ascii="Arian AMU" w:hAnsi="Arian AMU" w:cs="Arian AMU"/>
          <w:sz w:val="20"/>
          <w:szCs w:val="20"/>
        </w:rPr>
        <w:t xml:space="preserve">օրենքները սահմանում են զինվորական կարգապահության հիմքերը,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դրանցից</w:t>
      </w:r>
      <w:r w:rsidRPr="0016723D">
        <w:rPr>
          <w:rFonts w:ascii="Arian AMU" w:hAnsi="Arian AMU" w:cs="Arian AMU"/>
          <w:sz w:val="20"/>
          <w:szCs w:val="20"/>
        </w:rPr>
        <w:t xml:space="preserve"> ոչ մեկը որևէ հղում չի կատարում կոռուպցիայի խնդիրներին: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Սրան հակառակ՝</w:t>
      </w:r>
      <w:r w:rsidRPr="0016723D">
        <w:rPr>
          <w:rFonts w:ascii="Arian AMU" w:hAnsi="Arian AMU" w:cs="Arian AMU"/>
          <w:sz w:val="20"/>
          <w:szCs w:val="20"/>
        </w:rPr>
        <w:t xml:space="preserve"> քաղաքացիական անձնակազմը ենթակա է «Քաղաքացիական ծառայության մասին» օրենքին</w:t>
      </w:r>
      <w:r w:rsidR="001D3513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8"/>
      </w:r>
      <w:r w:rsidRPr="0016723D">
        <w:rPr>
          <w:rFonts w:ascii="Arian AMU" w:hAnsi="Arian AMU" w:cs="Arian AMU"/>
          <w:sz w:val="20"/>
          <w:szCs w:val="20"/>
        </w:rPr>
        <w:t xml:space="preserve"> և թիվ 48</w:t>
      </w:r>
      <w:r w:rsidR="001D3513" w:rsidRPr="0016723D">
        <w:rPr>
          <w:rStyle w:val="FootnoteReference"/>
          <w:rFonts w:ascii="Arian AMU" w:hAnsi="Arian AMU" w:cs="Arian AMU"/>
          <w:sz w:val="20"/>
          <w:szCs w:val="20"/>
        </w:rPr>
        <w:footnoteReference w:id="29"/>
      </w:r>
      <w:r w:rsidRPr="0016723D">
        <w:rPr>
          <w:rFonts w:ascii="Arian AMU" w:hAnsi="Arian AMU" w:cs="Arian AMU"/>
          <w:sz w:val="20"/>
          <w:szCs w:val="20"/>
        </w:rPr>
        <w:t xml:space="preserve"> որոշմանը, որոնք բացահայտորեն անդրադառնում են կաշառակերությանը և ապօրինի հարստացմանը վերաբերող հարցերին: Այնուամենայնիվ, 48-րդ որոշման կատարման առումով կան հարցականներ, քանի որ չկա որևէ ապացույց, որ նվերները կանոնավոր կերպով հաշվառվում են կամ սահմանված կարգով հանձնվում են Պետական գանձարանին</w:t>
      </w:r>
      <w:r w:rsidR="002976C6" w:rsidRPr="0016723D">
        <w:rPr>
          <w:rStyle w:val="FootnoteReference"/>
          <w:rFonts w:ascii="Arian AMU" w:hAnsi="Arian AMU" w:cs="Arian AMU"/>
          <w:sz w:val="20"/>
          <w:szCs w:val="20"/>
        </w:rPr>
        <w:footnoteReference w:id="30"/>
      </w:r>
      <w:r w:rsidRPr="0016723D">
        <w:rPr>
          <w:rFonts w:ascii="Arian AMU" w:hAnsi="Arian AMU" w:cs="Arian AMU"/>
          <w:sz w:val="20"/>
          <w:szCs w:val="20"/>
        </w:rPr>
        <w:t>։</w:t>
      </w:r>
    </w:p>
    <w:p w:rsidR="00250ECD" w:rsidRPr="0016723D" w:rsidRDefault="00250ECD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bookmarkStart w:id="3" w:name="_Toc48307332"/>
      <w:bookmarkStart w:id="4" w:name="_Toc48307260"/>
    </w:p>
    <w:p w:rsidR="002976C6" w:rsidRPr="0016723D" w:rsidRDefault="002976C6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>Գործողություններ</w:t>
      </w:r>
      <w:bookmarkEnd w:id="3"/>
      <w:r w:rsidRPr="0016723D">
        <w:rPr>
          <w:rFonts w:ascii="Arian AMU" w:hAnsi="Arian AMU" w:cs="Arian AMU"/>
          <w:sz w:val="20"/>
          <w:szCs w:val="20"/>
        </w:rPr>
        <w:t xml:space="preserve"> </w:t>
      </w:r>
    </w:p>
    <w:tbl>
      <w:tblPr>
        <w:tblStyle w:val="ListTable1Light-Accent5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2976C6" w:rsidRPr="0016723D" w:rsidTr="00751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976C6" w:rsidRPr="0016723D" w:rsidRDefault="002976C6" w:rsidP="00FC2174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 xml:space="preserve">Զինված ուժերի ընդհանուր անձնակազմը (Համաշխարհային 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բ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անկ, 2018)</w:t>
            </w:r>
          </w:p>
        </w:tc>
        <w:tc>
          <w:tcPr>
            <w:tcW w:w="4768" w:type="dxa"/>
          </w:tcPr>
          <w:p w:rsidR="002976C6" w:rsidRPr="0016723D" w:rsidRDefault="00FC2174" w:rsidP="007F2CBB">
            <w:pPr>
              <w:spacing w:before="100" w:beforeAutospacing="1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n AMU" w:hAnsi="Arian AMU" w:cs="Arian AMU"/>
                <w:b w:val="0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49,</w:t>
            </w:r>
            <w:r w:rsidR="002976C6" w:rsidRPr="0016723D">
              <w:rPr>
                <w:rFonts w:ascii="Arian AMU" w:hAnsi="Arian AMU" w:cs="Arian AMU"/>
                <w:b w:val="0"/>
                <w:sz w:val="20"/>
                <w:szCs w:val="20"/>
              </w:rPr>
              <w:t>000</w:t>
            </w:r>
          </w:p>
        </w:tc>
      </w:tr>
      <w:tr w:rsidR="002976C6" w:rsidRPr="0016723D" w:rsidTr="00751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2976C6" w:rsidRPr="0016723D" w:rsidRDefault="002976C6" w:rsidP="007F2CBB">
            <w:pPr>
              <w:spacing w:before="100" w:beforeAutospacing="1" w:after="100" w:afterAutospacing="1" w:line="276" w:lineRule="auto"/>
              <w:rPr>
                <w:rFonts w:ascii="Arian AMU" w:hAnsi="Arian AMU" w:cs="Arian AMU"/>
                <w:b w:val="0"/>
                <w:sz w:val="20"/>
                <w:szCs w:val="20"/>
                <w:highlight w:val="yellow"/>
              </w:rPr>
            </w:pP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Զորքերի թվաքանակի տեղաբաշխումը գործողություններ</w:t>
            </w:r>
            <w:r w:rsidR="00FC2174" w:rsidRPr="0016723D">
              <w:rPr>
                <w:rFonts w:ascii="Arian AMU" w:hAnsi="Arian AMU" w:cs="Arian AMU"/>
                <w:b w:val="0"/>
                <w:sz w:val="20"/>
                <w:szCs w:val="20"/>
                <w:lang w:val="en-US"/>
              </w:rPr>
              <w:t>ի շրջանակ</w:t>
            </w:r>
            <w:r w:rsidRPr="0016723D">
              <w:rPr>
                <w:rFonts w:ascii="Arian AMU" w:hAnsi="Arian AMU" w:cs="Arian AMU"/>
                <w:b w:val="0"/>
                <w:sz w:val="20"/>
                <w:szCs w:val="20"/>
              </w:rPr>
              <w:t>ում</w:t>
            </w:r>
          </w:p>
        </w:tc>
        <w:tc>
          <w:tcPr>
            <w:tcW w:w="4768" w:type="dxa"/>
          </w:tcPr>
          <w:p w:rsidR="002976C6" w:rsidRPr="0016723D" w:rsidRDefault="002976C6" w:rsidP="007F2CBB">
            <w:pPr>
              <w:spacing w:before="100" w:beforeAutospacing="1" w:after="100" w:after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n AMU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41՝ Կոսովոյում (ՆԱՏՕ),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footnoteReference w:id="31"/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33՝ Լիբանանում (Լիբանանում ՄԱԿ-ի ժամանակավոր ուժեր՝ UNIFIL)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footnoteReference w:id="32"/>
            </w:r>
            <w:r w:rsidR="00FC2174" w:rsidRPr="0016723D">
              <w:rPr>
                <w:rFonts w:ascii="Arian AMU" w:hAnsi="Arian AMU" w:cs="Arian AMU"/>
                <w:sz w:val="20"/>
                <w:szCs w:val="20"/>
              </w:rPr>
              <w:t>, 20,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>000՝ Լեռնային Ղարաբաղում (Արցախի Պաշտպանության բանակ)</w:t>
            </w:r>
            <w:r w:rsidRPr="0016723D">
              <w:rPr>
                <w:rStyle w:val="FootnoteReference"/>
                <w:rFonts w:ascii="Arian AMU" w:hAnsi="Arian AMU" w:cs="Arian AMU"/>
                <w:sz w:val="20"/>
                <w:szCs w:val="20"/>
              </w:rPr>
              <w:footnoteReference w:id="33"/>
            </w:r>
          </w:p>
        </w:tc>
      </w:tr>
    </w:tbl>
    <w:bookmarkEnd w:id="4"/>
    <w:p w:rsidR="00EC533A" w:rsidRPr="0016723D" w:rsidRDefault="00EC533A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>Հայաստանն ունի գործողություններում ներգրավված զգալի թվով զինվորականներ՝ սկսած ներքին դիրքերից մինչև ՆԱՏՕ-ի առաքելությունները, ինչպես նաև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ՄԱԿ-ի հետ Լիբանանում տեղակայված զորախումբը: Հայաստանն օգուտ է քաղել ՆԱՏՕ-ի «Բարեվարքության ամրապնդում» (Building Integrity) ծրագրին մասնակցելուց, սակայն Հայաստանի Պ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աշտպանության նախարարություն</w:t>
      </w:r>
      <w:r w:rsidRPr="0016723D">
        <w:rPr>
          <w:rFonts w:ascii="Arian AMU" w:hAnsi="Arian AMU" w:cs="Arian AMU"/>
          <w:sz w:val="20"/>
          <w:szCs w:val="20"/>
        </w:rPr>
        <w:t xml:space="preserve">ն, ըստ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ամենայնի</w:t>
      </w:r>
      <w:r w:rsidRPr="0016723D">
        <w:rPr>
          <w:rFonts w:ascii="Arian AMU" w:hAnsi="Arian AMU" w:cs="Arian AMU"/>
          <w:sz w:val="20"/>
          <w:szCs w:val="20"/>
        </w:rPr>
        <w:t>, համակարգ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 xml:space="preserve">ային մոտեցում չի ցուցաբերում </w:t>
      </w:r>
      <w:r w:rsidRPr="0016723D">
        <w:rPr>
          <w:rFonts w:ascii="Arian AMU" w:hAnsi="Arian AMU" w:cs="Arian AMU"/>
          <w:sz w:val="20"/>
          <w:szCs w:val="20"/>
        </w:rPr>
        <w:t>գործողություններում կոռուպցիայի խնդրին: Ռազմական դոկտրինը կոռուպցիոն ռիսկերին չի անդրադառնում որպես ռազմավարական խնդրի</w:t>
      </w:r>
      <w:r w:rsidR="002976C6" w:rsidRPr="0016723D">
        <w:rPr>
          <w:rStyle w:val="FootnoteReference"/>
          <w:rFonts w:ascii="Arian AMU" w:hAnsi="Arian AMU" w:cs="Arian AMU"/>
          <w:sz w:val="20"/>
          <w:szCs w:val="20"/>
        </w:rPr>
        <w:footnoteReference w:id="34"/>
      </w:r>
      <w:r w:rsidRPr="0016723D">
        <w:rPr>
          <w:rFonts w:ascii="Arian AMU" w:hAnsi="Arian AMU" w:cs="Arian AMU"/>
          <w:sz w:val="20"/>
          <w:szCs w:val="20"/>
        </w:rPr>
        <w:t xml:space="preserve">։ Կոռուպցիոն նկատառումները ներառված չեն գործողությունների պլանավորման գործընթացներում, և թեպետ կառավարությունը հայտարարել է պաշտպանության ոլորտի կոռուպցիոն խնդիրներն  ուշադրության կենտրոնում պահելու մտադրության մասին, պարզ չէ, թե </w:t>
      </w:r>
      <w:r w:rsidR="00E82DAF" w:rsidRPr="0016723D">
        <w:rPr>
          <w:rFonts w:ascii="Arian AMU" w:hAnsi="Arian AMU" w:cs="Arian AMU"/>
          <w:sz w:val="20"/>
          <w:szCs w:val="20"/>
        </w:rPr>
        <w:t xml:space="preserve">արդյոք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նկատի</w:t>
      </w:r>
      <w:r w:rsidR="00E82DAF" w:rsidRPr="0016723D">
        <w:rPr>
          <w:rFonts w:ascii="Arian AMU" w:hAnsi="Arian AMU" w:cs="Arian AMU"/>
          <w:sz w:val="20"/>
          <w:szCs w:val="20"/>
        </w:rPr>
        <w:t>՞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 xml:space="preserve"> են առնվում նաև </w:t>
      </w:r>
      <w:r w:rsidRPr="0016723D">
        <w:rPr>
          <w:rFonts w:ascii="Arian AMU" w:hAnsi="Arian AMU" w:cs="Arian AMU"/>
          <w:sz w:val="20"/>
          <w:szCs w:val="20"/>
        </w:rPr>
        <w:t>գործողությունները</w:t>
      </w:r>
      <w:r w:rsidR="002976C6" w:rsidRPr="0016723D">
        <w:rPr>
          <w:rStyle w:val="FootnoteReference"/>
          <w:rFonts w:ascii="Arian AMU" w:hAnsi="Arian AMU" w:cs="Arian AMU"/>
          <w:sz w:val="20"/>
          <w:szCs w:val="20"/>
        </w:rPr>
        <w:footnoteReference w:id="35"/>
      </w:r>
      <w:r w:rsidRPr="0016723D">
        <w:rPr>
          <w:rFonts w:ascii="Arian AMU" w:hAnsi="Arian AMU" w:cs="Arian AMU"/>
          <w:sz w:val="20"/>
          <w:szCs w:val="20"/>
        </w:rPr>
        <w:t xml:space="preserve">։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Բացի այդ</w:t>
      </w:r>
      <w:r w:rsidRPr="0016723D">
        <w:rPr>
          <w:rFonts w:ascii="Arian AMU" w:hAnsi="Arian AMU" w:cs="Arian AMU"/>
          <w:sz w:val="20"/>
          <w:szCs w:val="20"/>
        </w:rPr>
        <w:t xml:space="preserve">, կոռուպցիայի հարցերով հրամանատարների վերապատրաստումը կախված է քաղաքացիական հասարակության կամ ռազմական գործընկերներից և հակված է սահմանափակվելու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 xml:space="preserve">միայն </w:t>
      </w:r>
      <w:r w:rsidRPr="0016723D">
        <w:rPr>
          <w:rFonts w:ascii="Arian AMU" w:hAnsi="Arian AMU" w:cs="Arian AMU"/>
          <w:sz w:val="20"/>
          <w:szCs w:val="20"/>
        </w:rPr>
        <w:t xml:space="preserve">Հայաստանի խաղաղապահ գումարտակով: 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 xml:space="preserve">Չնայած, որ </w:t>
      </w:r>
      <w:r w:rsidRPr="0016723D">
        <w:rPr>
          <w:rFonts w:ascii="Arian AMU" w:hAnsi="Arian AMU" w:cs="Arian AMU"/>
          <w:sz w:val="20"/>
          <w:szCs w:val="20"/>
        </w:rPr>
        <w:t xml:space="preserve">Երևանում Խաղաղապահների ուսուցման տարածքի ստեղծումը դրական քայլ է, դեռևս պետք է տեսնել, թե  </w:t>
      </w:r>
      <w:r w:rsidR="00E82DAF" w:rsidRPr="0016723D">
        <w:rPr>
          <w:rFonts w:ascii="Arian AMU" w:hAnsi="Arian AMU" w:cs="Arian AMU"/>
          <w:sz w:val="20"/>
          <w:szCs w:val="20"/>
        </w:rPr>
        <w:t>արդյոք</w:t>
      </w:r>
      <w:r w:rsidR="00E82DAF" w:rsidRPr="0016723D">
        <w:rPr>
          <w:rFonts w:ascii="Arian AMU" w:hAnsi="Arian AMU" w:cs="Arian AMU"/>
          <w:sz w:val="20"/>
          <w:szCs w:val="20"/>
        </w:rPr>
        <w:t xml:space="preserve"> </w:t>
      </w:r>
      <w:r w:rsidRPr="0016723D">
        <w:rPr>
          <w:rFonts w:ascii="Arian AMU" w:hAnsi="Arian AMU" w:cs="Arian AMU"/>
          <w:sz w:val="20"/>
          <w:szCs w:val="20"/>
        </w:rPr>
        <w:t xml:space="preserve">խաղաղապահների համար կանցկացվե՞ն կոռուպցիայի վերաբերյալ դասընթացներ: Չկան նաև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հիմքեր</w:t>
      </w:r>
      <w:r w:rsidR="005209DB" w:rsidRPr="0016723D">
        <w:rPr>
          <w:rFonts w:ascii="Arian AMU" w:hAnsi="Arian AMU" w:cs="Arian AMU"/>
          <w:sz w:val="20"/>
          <w:szCs w:val="20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պնդելու, </w:t>
      </w:r>
      <w:r w:rsidRPr="0016723D">
        <w:rPr>
          <w:rFonts w:ascii="Arian AMU" w:hAnsi="Arian AMU" w:cs="Arian AMU"/>
          <w:sz w:val="20"/>
          <w:szCs w:val="20"/>
        </w:rPr>
        <w:t>որ զինվորականները գործողությունների ընթացքում իրականացնում են կոռուպցիայի մ</w:t>
      </w:r>
      <w:r w:rsidR="00E82DAF" w:rsidRPr="0016723D">
        <w:rPr>
          <w:rFonts w:ascii="Arian AMU" w:hAnsi="Arian AMU" w:cs="Arian AMU"/>
          <w:sz w:val="20"/>
          <w:szCs w:val="20"/>
          <w:lang w:val="en-US"/>
        </w:rPr>
        <w:t>ոնիտորինգ</w:t>
      </w:r>
      <w:r w:rsidRPr="0016723D">
        <w:rPr>
          <w:rFonts w:ascii="Arian AMU" w:hAnsi="Arian AMU" w:cs="Arian AMU"/>
          <w:sz w:val="20"/>
          <w:szCs w:val="20"/>
        </w:rPr>
        <w:t>, կամ՝ որ տեղաբաշխվել է հատուկ պատրաստված անձնակազմ՝ մ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ոնիտորինգի և գնահատման ենթարկելու </w:t>
      </w:r>
      <w:r w:rsidRPr="0016723D">
        <w:rPr>
          <w:rFonts w:ascii="Arian AMU" w:hAnsi="Arian AMU" w:cs="Arian AMU"/>
          <w:sz w:val="20"/>
          <w:szCs w:val="20"/>
        </w:rPr>
        <w:t>կոռուպցիոն ռիսկերը: Սա նշանակում է, որ անձնակազմը և առաքելությունները չունեն գործողությունների ընթացքում կոռուպցի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ոն </w:t>
      </w:r>
      <w:r w:rsidRPr="0016723D">
        <w:rPr>
          <w:rFonts w:ascii="Arian AMU" w:hAnsi="Arian AMU" w:cs="Arian AMU"/>
          <w:sz w:val="20"/>
          <w:szCs w:val="20"/>
        </w:rPr>
        <w:t xml:space="preserve">խնդիրները բացահայտելու և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դրանց անդրադառնալու</w:t>
      </w:r>
      <w:r w:rsidRPr="0016723D">
        <w:rPr>
          <w:rFonts w:ascii="Arian AMU" w:hAnsi="Arian AMU" w:cs="Arian AMU"/>
          <w:sz w:val="20"/>
          <w:szCs w:val="20"/>
        </w:rPr>
        <w:t xml:space="preserve"> բավարար կարողություններ, ինչը զգալիորեն մեծացնում է ռիսկ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ն առ այն</w:t>
      </w:r>
      <w:r w:rsidRPr="0016723D">
        <w:rPr>
          <w:rFonts w:ascii="Arian AMU" w:hAnsi="Arian AMU" w:cs="Arian AMU"/>
          <w:sz w:val="20"/>
          <w:szCs w:val="20"/>
        </w:rPr>
        <w:t xml:space="preserve">, որ նման խնդիրները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վտանգի կարող են ենթարկել </w:t>
      </w:r>
      <w:r w:rsidRPr="0016723D">
        <w:rPr>
          <w:rFonts w:ascii="Arian AMU" w:hAnsi="Arian AMU" w:cs="Arian AMU"/>
          <w:sz w:val="20"/>
          <w:szCs w:val="20"/>
        </w:rPr>
        <w:t>առաքելությունների նպատակներ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ի իրականացումը</w:t>
      </w:r>
      <w:r w:rsidRPr="0016723D">
        <w:rPr>
          <w:rFonts w:ascii="Arian AMU" w:hAnsi="Arian AMU" w:cs="Arian AMU"/>
          <w:sz w:val="20"/>
          <w:szCs w:val="20"/>
        </w:rPr>
        <w:t>:</w:t>
      </w:r>
    </w:p>
    <w:p w:rsidR="00FC2174" w:rsidRPr="0016723D" w:rsidRDefault="00FC2174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</w:p>
    <w:p w:rsidR="00535C6E" w:rsidRPr="0016723D" w:rsidRDefault="00535C6E" w:rsidP="007F2CBB">
      <w:pPr>
        <w:pStyle w:val="Heading2"/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bookmarkStart w:id="5" w:name="_Toc48307257"/>
      <w:r w:rsidRPr="0016723D">
        <w:rPr>
          <w:rFonts w:ascii="Arian AMU" w:hAnsi="Arian AMU" w:cs="Arian AMU"/>
          <w:sz w:val="20"/>
          <w:szCs w:val="20"/>
        </w:rPr>
        <w:t>Պաշտպանության ոլորտի գնումներ</w:t>
      </w:r>
      <w:r w:rsidR="00FC2174" w:rsidRPr="0016723D">
        <w:rPr>
          <w:rFonts w:ascii="Arian AMU" w:hAnsi="Arian AMU" w:cs="Arian AMU"/>
          <w:sz w:val="20"/>
          <w:szCs w:val="20"/>
        </w:rPr>
        <w:t xml:space="preserve"> </w:t>
      </w:r>
    </w:p>
    <w:tbl>
      <w:tblPr>
        <w:tblW w:w="9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140"/>
      </w:tblGrid>
      <w:tr w:rsidR="00535C6E" w:rsidRPr="0016723D" w:rsidTr="00FC2174">
        <w:tc>
          <w:tcPr>
            <w:tcW w:w="4950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textAlignment w:val="baseline"/>
              <w:rPr>
                <w:rFonts w:ascii="Arian AMU" w:eastAsia="Times New Roman" w:hAnsi="Arian AMU" w:cs="Arian AMU"/>
                <w:bCs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Ռազմական ծախսեր (միլիոն ԱՄՆ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 xml:space="preserve"> դոլար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>) (SIPRI, 2020)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8EAADB"/>
              <w:right w:val="nil"/>
            </w:tcBorders>
            <w:shd w:val="clear" w:color="auto" w:fill="auto"/>
            <w:hideMark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ind w:left="145"/>
              <w:textAlignment w:val="baseline"/>
              <w:rPr>
                <w:rFonts w:ascii="Arian AMU" w:eastAsia="Times New Roman" w:hAnsi="Arian AMU" w:cs="Arian AMU"/>
                <w:bCs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635</w:t>
            </w:r>
          </w:p>
        </w:tc>
      </w:tr>
      <w:tr w:rsidR="00535C6E" w:rsidRPr="0016723D" w:rsidTr="00FC2174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hideMark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textAlignment w:val="baseline"/>
              <w:rPr>
                <w:rFonts w:ascii="Arian AMU" w:eastAsia="Times New Roman" w:hAnsi="Arian AMU" w:cs="Arian AMU"/>
                <w:b/>
                <w:bCs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Պաշտպանության ոլորտի գնումների բաց մրցույթ</w:t>
            </w:r>
            <w:r w:rsidR="00FC2174" w:rsidRPr="0016723D">
              <w:rPr>
                <w:rFonts w:ascii="Arian AMU" w:hAnsi="Arian AMU" w:cs="Arian AMU"/>
                <w:sz w:val="20"/>
                <w:szCs w:val="20"/>
                <w:lang w:val="en-US"/>
              </w:rPr>
              <w:t>ներ</w:t>
            </w:r>
            <w:r w:rsidRPr="0016723D">
              <w:rPr>
                <w:rFonts w:ascii="Arian AMU" w:hAnsi="Arian AMU" w:cs="Arian AMU"/>
                <w:sz w:val="20"/>
                <w:szCs w:val="20"/>
              </w:rPr>
              <w:t xml:space="preserve"> (%)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hideMark/>
          </w:tcPr>
          <w:p w:rsidR="00535C6E" w:rsidRPr="0016723D" w:rsidRDefault="00D66CDF" w:rsidP="007F2CBB">
            <w:pPr>
              <w:spacing w:before="100" w:beforeAutospacing="1" w:after="100" w:afterAutospacing="1" w:line="276" w:lineRule="auto"/>
              <w:ind w:left="145"/>
              <w:textAlignment w:val="baseline"/>
              <w:rPr>
                <w:rFonts w:ascii="Arian AMU" w:eastAsia="Times New Roman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Ճշգրիտ տվյալները հանրությանը հասանելի չեն</w:t>
            </w:r>
          </w:p>
        </w:tc>
      </w:tr>
      <w:tr w:rsidR="00535C6E" w:rsidRPr="0016723D" w:rsidTr="00FC2174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C6E" w:rsidRPr="0016723D" w:rsidRDefault="00535C6E" w:rsidP="00FC2174">
            <w:pPr>
              <w:spacing w:before="100" w:beforeAutospacing="1" w:after="100" w:afterAutospacing="1" w:line="276" w:lineRule="auto"/>
              <w:textAlignment w:val="baseline"/>
              <w:rPr>
                <w:rFonts w:ascii="Arian AMU" w:eastAsia="Times New Roman" w:hAnsi="Arian AMU" w:cs="Arian AMU"/>
                <w:b/>
                <w:bCs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Պաշտպանական արտադրանքի հիմնական արտահանումները (SIPRI, 2016-20)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ind w:left="145"/>
              <w:textAlignment w:val="baseline"/>
              <w:rPr>
                <w:rFonts w:ascii="Arian AMU" w:eastAsia="Times New Roman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Կիրառելի չէ</w:t>
            </w:r>
          </w:p>
        </w:tc>
      </w:tr>
      <w:tr w:rsidR="00535C6E" w:rsidRPr="0016723D" w:rsidTr="00FC2174">
        <w:trPr>
          <w:trHeight w:val="25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hideMark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textAlignment w:val="baseline"/>
              <w:rPr>
                <w:rFonts w:ascii="Arian AMU" w:eastAsia="Times New Roman" w:hAnsi="Arian AMU" w:cs="Arian AMU"/>
                <w:b/>
                <w:bCs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Պաշտպանական արտադրանքի հիմնական ներմուծումները (SIPRI, 2016-20)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/>
            <w:hideMark/>
          </w:tcPr>
          <w:p w:rsidR="00535C6E" w:rsidRPr="0016723D" w:rsidRDefault="00535C6E" w:rsidP="007F2CBB">
            <w:pPr>
              <w:spacing w:before="100" w:beforeAutospacing="1" w:after="100" w:afterAutospacing="1" w:line="276" w:lineRule="auto"/>
              <w:ind w:left="145"/>
              <w:textAlignment w:val="baseline"/>
              <w:rPr>
                <w:rFonts w:ascii="Arian AMU" w:eastAsia="Times New Roman" w:hAnsi="Arian AMU" w:cs="Arian AMU"/>
                <w:sz w:val="20"/>
                <w:szCs w:val="20"/>
              </w:rPr>
            </w:pPr>
            <w:r w:rsidRPr="0016723D">
              <w:rPr>
                <w:rFonts w:ascii="Arian AMU" w:hAnsi="Arian AMU" w:cs="Arian AMU"/>
                <w:sz w:val="20"/>
                <w:szCs w:val="20"/>
              </w:rPr>
              <w:t>Ռուսաստանից, Հորդանանից</w:t>
            </w:r>
          </w:p>
        </w:tc>
      </w:tr>
    </w:tbl>
    <w:bookmarkEnd w:id="5"/>
    <w:p w:rsidR="00EC533A" w:rsidRPr="0016723D" w:rsidRDefault="00535C6E" w:rsidP="007F2CBB">
      <w:pPr>
        <w:spacing w:before="100" w:beforeAutospacing="1" w:after="100" w:afterAutospacing="1" w:line="276" w:lineRule="auto"/>
        <w:rPr>
          <w:rFonts w:ascii="Arian AMU" w:hAnsi="Arian AMU" w:cs="Arian AMU"/>
          <w:sz w:val="20"/>
          <w:szCs w:val="20"/>
        </w:rPr>
      </w:pPr>
      <w:r w:rsidRPr="0016723D">
        <w:rPr>
          <w:rFonts w:ascii="Arian AMU" w:hAnsi="Arian AMU" w:cs="Arian AMU"/>
          <w:sz w:val="20"/>
          <w:szCs w:val="20"/>
        </w:rPr>
        <w:t xml:space="preserve">Մինչև 2020 թվականը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գրանցվել է </w:t>
      </w:r>
      <w:r w:rsidRPr="0016723D">
        <w:rPr>
          <w:rFonts w:ascii="Arian AMU" w:hAnsi="Arian AMU" w:cs="Arian AMU"/>
          <w:sz w:val="20"/>
          <w:szCs w:val="20"/>
        </w:rPr>
        <w:t>Հայաստանի ռազմական ծախսերի կտրուկ և արագ աճ՝ 2014 թվականին ՀՆԱ-ի 3,9%-ից 2019 թվականին հասնելով 4,9%-ի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36"/>
      </w:r>
      <w:r w:rsidRPr="0016723D">
        <w:rPr>
          <w:rFonts w:ascii="Arian AMU" w:hAnsi="Arian AMU" w:cs="Arian AMU"/>
          <w:sz w:val="20"/>
          <w:szCs w:val="20"/>
        </w:rPr>
        <w:t xml:space="preserve">։ Աճը պայմանավորված է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եղել </w:t>
      </w:r>
      <w:r w:rsidRPr="0016723D">
        <w:rPr>
          <w:rFonts w:ascii="Arian AMU" w:hAnsi="Arian AMU" w:cs="Arian AMU"/>
          <w:sz w:val="20"/>
          <w:szCs w:val="20"/>
        </w:rPr>
        <w:t xml:space="preserve">Ադրբեջանի հետ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հարաբերությունների </w:t>
      </w:r>
      <w:r w:rsidRPr="0016723D">
        <w:rPr>
          <w:rFonts w:ascii="Arian AMU" w:hAnsi="Arian AMU" w:cs="Arian AMU"/>
          <w:sz w:val="20"/>
          <w:szCs w:val="20"/>
        </w:rPr>
        <w:t xml:space="preserve">լարվածության աճով և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 xml:space="preserve">այս երկրի </w:t>
      </w:r>
      <w:r w:rsidRPr="0016723D">
        <w:rPr>
          <w:rFonts w:ascii="Arian AMU" w:hAnsi="Arian AMU" w:cs="Arian AMU"/>
          <w:sz w:val="20"/>
          <w:szCs w:val="20"/>
        </w:rPr>
        <w:t xml:space="preserve">ինտենսիվ սպառազինմամբ, Թուրքիայի հետ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հետզհետե</w:t>
      </w:r>
      <w:r w:rsidRPr="0016723D">
        <w:rPr>
          <w:rFonts w:ascii="Arian AMU" w:hAnsi="Arian AMU" w:cs="Arian AMU"/>
          <w:sz w:val="20"/>
          <w:szCs w:val="20"/>
        </w:rPr>
        <w:t xml:space="preserve"> վատթարացող հարաբերություններով և պաշտպանական նոր ռազմավարությամբ, որը զսպումը նախընտրում է խորը պաշտպանությունից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37"/>
      </w:r>
      <w:r w:rsidRPr="0016723D">
        <w:rPr>
          <w:rFonts w:ascii="Arian AMU" w:hAnsi="Arian AMU" w:cs="Arian AMU"/>
          <w:sz w:val="20"/>
          <w:szCs w:val="20"/>
        </w:rPr>
        <w:t xml:space="preserve">։ Այս փոփոխությունը զգալիորեն խթանել է գնումները, այդ թվում՝ խոշոր պայմանագրերը Ռուսաստանի հետ՝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ձեռքբերելու ժամանակակից</w:t>
      </w:r>
      <w:r w:rsidRPr="0016723D">
        <w:rPr>
          <w:rFonts w:ascii="Arian AMU" w:hAnsi="Arian AMU" w:cs="Arian AMU"/>
          <w:sz w:val="20"/>
          <w:szCs w:val="20"/>
        </w:rPr>
        <w:t xml:space="preserve"> 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ռազմական սպառազինություն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38"/>
      </w:r>
      <w:r w:rsidRPr="0016723D">
        <w:rPr>
          <w:rFonts w:ascii="Arian AMU" w:hAnsi="Arian AMU" w:cs="Arian AMU"/>
          <w:sz w:val="20"/>
          <w:szCs w:val="20"/>
        </w:rPr>
        <w:t>։ Արդյունքում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՝</w:t>
      </w:r>
      <w:r w:rsidRPr="0016723D">
        <w:rPr>
          <w:rFonts w:ascii="Arian AMU" w:hAnsi="Arian AMU" w:cs="Arian AMU"/>
          <w:sz w:val="20"/>
          <w:szCs w:val="20"/>
        </w:rPr>
        <w:t xml:space="preserve"> 2018 թվականին պետական ծախսերի 21%-ն ուղղվել է ռազմ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ական ոլորտին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39"/>
      </w:r>
      <w:r w:rsidRPr="0016723D">
        <w:rPr>
          <w:rFonts w:ascii="Arian AMU" w:hAnsi="Arian AMU" w:cs="Arian AMU"/>
          <w:sz w:val="20"/>
          <w:szCs w:val="20"/>
        </w:rPr>
        <w:t>։  Պաշտպանական գնումների ծավալների այս</w:t>
      </w:r>
      <w:r w:rsidR="005209DB" w:rsidRPr="0016723D">
        <w:rPr>
          <w:rFonts w:ascii="Arian AMU" w:hAnsi="Arian AMU" w:cs="Arian AMU"/>
          <w:sz w:val="20"/>
          <w:szCs w:val="20"/>
          <w:lang w:val="en-US"/>
        </w:rPr>
        <w:t>պիսի</w:t>
      </w:r>
      <w:r w:rsidRPr="0016723D">
        <w:rPr>
          <w:rFonts w:ascii="Arian AMU" w:hAnsi="Arian AMU" w:cs="Arian AMU"/>
          <w:sz w:val="20"/>
          <w:szCs w:val="20"/>
        </w:rPr>
        <w:t xml:space="preserve"> աճը, սակայն, ռիսկեր է պարունակում։ Հայաստանի ներկայիս վերահսկողական և կառավարման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 xml:space="preserve"> համակարգերը զգալի կոռուպցիոն ռիսկեր են ստեղծում</w:t>
      </w:r>
      <w:r w:rsidRPr="0016723D">
        <w:rPr>
          <w:rFonts w:ascii="Arian AMU" w:hAnsi="Arian AMU" w:cs="Arian AMU"/>
          <w:sz w:val="20"/>
          <w:szCs w:val="20"/>
        </w:rPr>
        <w:t xml:space="preserve"> գնումների գործընթաց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ներում</w:t>
      </w:r>
      <w:r w:rsidRPr="0016723D">
        <w:rPr>
          <w:rFonts w:ascii="Arian AMU" w:hAnsi="Arian AMU" w:cs="Arian AMU"/>
          <w:sz w:val="20"/>
          <w:szCs w:val="20"/>
        </w:rPr>
        <w:t>։ Օրինակ, գոյություն չունի ձեռքբերումների պլանավորման հստակ գործընթաց, որը կներառեր նաև արտաքին վերահսկողություն կամ որոշակի գնումներ բացահայտորեն կկապեր Ազգային անվտանգության ռազմավարությանը</w:t>
      </w:r>
      <w:r w:rsidR="00D66CDF" w:rsidRPr="0016723D">
        <w:rPr>
          <w:rStyle w:val="FootnoteReference"/>
          <w:rFonts w:ascii="Arian AMU" w:hAnsi="Arian AMU" w:cs="Arian AMU"/>
          <w:sz w:val="20"/>
          <w:szCs w:val="20"/>
        </w:rPr>
        <w:footnoteReference w:id="40"/>
      </w:r>
      <w:r w:rsidRPr="0016723D">
        <w:rPr>
          <w:rFonts w:ascii="Arian AMU" w:hAnsi="Arian AMU" w:cs="Arian AMU"/>
          <w:sz w:val="20"/>
          <w:szCs w:val="20"/>
        </w:rPr>
        <w:t xml:space="preserve">, ինչը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 xml:space="preserve">լղոզում է </w:t>
      </w:r>
      <w:r w:rsidRPr="0016723D">
        <w:rPr>
          <w:rFonts w:ascii="Arian AMU" w:hAnsi="Arian AMU" w:cs="Arian AMU"/>
          <w:sz w:val="20"/>
          <w:szCs w:val="20"/>
        </w:rPr>
        <w:t xml:space="preserve">գնումների առաջնահերթությունների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որոշման</w:t>
      </w:r>
      <w:r w:rsidRPr="0016723D">
        <w:rPr>
          <w:rFonts w:ascii="Arian AMU" w:hAnsi="Arian AMU" w:cs="Arian AMU"/>
          <w:sz w:val="20"/>
          <w:szCs w:val="20"/>
        </w:rPr>
        <w:t xml:space="preserve"> և կոնկրետ ընտրությ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ան</w:t>
      </w:r>
      <w:r w:rsidRPr="0016723D">
        <w:rPr>
          <w:rFonts w:ascii="Arian AMU" w:hAnsi="Arian AMU" w:cs="Arian AMU"/>
          <w:sz w:val="20"/>
          <w:szCs w:val="20"/>
        </w:rPr>
        <w:t xml:space="preserve"> հիմնավորումները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:</w:t>
      </w:r>
      <w:r w:rsidRPr="0016723D">
        <w:rPr>
          <w:rFonts w:ascii="Arian AMU" w:hAnsi="Arian AMU" w:cs="Arian AMU"/>
          <w:sz w:val="20"/>
          <w:szCs w:val="20"/>
        </w:rPr>
        <w:t xml:space="preserve"> Թեև քաղաքացիական նշանակության ապրանքների գնումներն իրականացվում են էլեկտրոնային հարթակների միջոցով, սակայն զենքի գնման և ռազմական տեխնիկայի ձեռքբերումների մեծ մասը գաղտնագրված է, ինչը նշանակում է, որ դրանք հրապարակման ենթակա չեն, իսկ մրցույթի և պայմանագրի պայմանների վերաբերյալ ամբողջական տեղեկությունները հասանելի չեն հանրությանը։ Գնումների ընթացակարգերի նկատմամբ վերահսկողությունն է՛լ ավելի է սահմանափակվում գաղտնիության դրույթներով, որոնք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>խոչընդոտ</w:t>
      </w:r>
      <w:r w:rsidRPr="0016723D">
        <w:rPr>
          <w:rFonts w:ascii="Arian AMU" w:hAnsi="Arian AMU" w:cs="Arian AMU"/>
          <w:sz w:val="20"/>
          <w:szCs w:val="20"/>
        </w:rPr>
        <w:t xml:space="preserve">ում են հանրային վերահսկողությունը: Հաշվեքննիչ պալատն իրավասու է </w:t>
      </w:r>
      <w:r w:rsidR="007F1F3A" w:rsidRPr="0016723D">
        <w:rPr>
          <w:rFonts w:ascii="Arian AMU" w:hAnsi="Arian AMU" w:cs="Arian AMU"/>
          <w:sz w:val="20"/>
          <w:szCs w:val="20"/>
          <w:lang w:val="en-US"/>
        </w:rPr>
        <w:t xml:space="preserve">մոնիտորինգի ենթարկելու </w:t>
      </w:r>
      <w:r w:rsidRPr="0016723D">
        <w:rPr>
          <w:rFonts w:ascii="Arian AMU" w:hAnsi="Arian AMU" w:cs="Arian AMU"/>
          <w:sz w:val="20"/>
          <w:szCs w:val="20"/>
        </w:rPr>
        <w:t>պաշտպանության բոլոր գնումների ընթացակարգերը, սակայն պաշտպանության ոլորտին առնչվող զեկույցները միշտ չէ, որ հասանելի են հանրությանը և հաճախ ներկայացվում են միայն ամփոփ ձևով</w:t>
      </w:r>
      <w:r w:rsidRPr="0016723D">
        <w:rPr>
          <w:rStyle w:val="FootnoteReference"/>
          <w:rFonts w:ascii="Arian AMU" w:hAnsi="Arian AMU" w:cs="Arian AMU"/>
          <w:sz w:val="20"/>
          <w:szCs w:val="20"/>
        </w:rPr>
        <w:footnoteReference w:id="41"/>
      </w:r>
      <w:r w:rsidRPr="0016723D">
        <w:rPr>
          <w:rFonts w:ascii="Arian AMU" w:hAnsi="Arian AMU" w:cs="Arian AMU"/>
          <w:sz w:val="20"/>
          <w:szCs w:val="20"/>
        </w:rPr>
        <w:t xml:space="preserve">։ Պաշտպանության հարցերի շուրջ Հաշվեքննիչ պալատի  գործակցությունը Խորհրդարանի հետ նույնպես սահմանափակ է, ինչը հանգեցնում է արժեքավոր տեղեկությունների կորստի այս երկու վերահսկող մարմինների համար։ </w:t>
      </w:r>
    </w:p>
    <w:sectPr w:rsidR="00EC533A" w:rsidRPr="0016723D" w:rsidSect="008E16FC">
      <w:headerReference w:type="default" r:id="rId7"/>
      <w:footerReference w:type="default" r:id="rId8"/>
      <w:headerReference w:type="first" r:id="rId9"/>
      <w:pgSz w:w="11906" w:h="16838" w:code="9"/>
      <w:pgMar w:top="1440" w:right="1196" w:bottom="1170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373" w:rsidRDefault="00A84373" w:rsidP="004C6367">
      <w:pPr>
        <w:spacing w:after="0" w:line="240" w:lineRule="auto"/>
      </w:pPr>
      <w:r>
        <w:separator/>
      </w:r>
    </w:p>
  </w:endnote>
  <w:endnote w:type="continuationSeparator" w:id="0">
    <w:p w:rsidR="00A84373" w:rsidRDefault="00A84373" w:rsidP="004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532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7F0" w:rsidRDefault="00C947F0">
        <w:pPr>
          <w:pStyle w:val="Footer"/>
          <w:jc w:val="center"/>
        </w:pPr>
      </w:p>
      <w:p w:rsidR="00AB706D" w:rsidRDefault="00AB706D" w:rsidP="00C94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050">
          <w:rPr>
            <w:noProof/>
          </w:rPr>
          <w:t>6</w:t>
        </w:r>
        <w:r>
          <w:fldChar w:fldCharType="end"/>
        </w:r>
      </w:p>
    </w:sdtContent>
  </w:sdt>
  <w:p w:rsidR="00AB706D" w:rsidRDefault="00AB7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373" w:rsidRDefault="00A84373" w:rsidP="004C6367">
      <w:pPr>
        <w:spacing w:after="0" w:line="240" w:lineRule="auto"/>
      </w:pPr>
      <w:r>
        <w:separator/>
      </w:r>
    </w:p>
  </w:footnote>
  <w:footnote w:type="continuationSeparator" w:id="0">
    <w:p w:rsidR="00A84373" w:rsidRDefault="00A84373" w:rsidP="004C6367">
      <w:pPr>
        <w:spacing w:after="0" w:line="240" w:lineRule="auto"/>
      </w:pPr>
      <w:r>
        <w:continuationSeparator/>
      </w:r>
    </w:p>
  </w:footnote>
  <w:footnote w:id="1">
    <w:p w:rsidR="00807399" w:rsidRPr="00EA3B60" w:rsidRDefault="00807399" w:rsidP="00807399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«Ֆրիդոմ Հաուս», «Անցումային փուլում գտնվող պետություններ։</w:t>
      </w:r>
      <w:r w:rsidRPr="00EA3B60">
        <w:rPr>
          <w:rFonts w:ascii="Arian AMU" w:hAnsi="Arian AMU" w:cs="Arian AMU"/>
          <w:i/>
          <w:sz w:val="16"/>
          <w:szCs w:val="16"/>
        </w:rPr>
        <w:t xml:space="preserve"> </w:t>
      </w:r>
      <w:r w:rsidRPr="00EA3B60">
        <w:rPr>
          <w:rFonts w:ascii="Arian AMU" w:hAnsi="Arian AMU" w:cs="Arian AMU"/>
          <w:sz w:val="16"/>
          <w:szCs w:val="16"/>
        </w:rPr>
        <w:t>Դեն նետելով ժողովրդավարության ճակատամասը», «Ֆրիդոմ Հաաուս», Վաշինգթոն, 2019, էջ 15։</w:t>
      </w:r>
    </w:p>
  </w:footnote>
  <w:footnote w:id="2">
    <w:p w:rsidR="00E93ED6" w:rsidRPr="00EA3B60" w:rsidRDefault="004C6367" w:rsidP="00E93ED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Միրիամ Լանսկոյ և Էլսփեթ Սադերզ, «Հայաստանի Թավշյա հեղափոխությունը», «Բաց ժողովրդավարության ամսագիր» (</w:t>
      </w:r>
      <w:r w:rsidRPr="00EA3B60">
        <w:rPr>
          <w:rFonts w:ascii="Arian AMU" w:hAnsi="Arian AMU" w:cs="Arian AMU"/>
          <w:i/>
          <w:sz w:val="16"/>
          <w:szCs w:val="16"/>
        </w:rPr>
        <w:t>Journal of Open Democracy)</w:t>
      </w:r>
      <w:r w:rsidRPr="00EA3B60">
        <w:rPr>
          <w:rFonts w:ascii="Arian AMU" w:hAnsi="Arian AMU" w:cs="Arian AMU"/>
          <w:sz w:val="16"/>
          <w:szCs w:val="16"/>
        </w:rPr>
        <w:t>, հատոր 30(2), 2019, էջ 85-99։ Միջազգային ճգնաժամային խումբ, «Ելքեր փակուղուց Լեռնային Ղարաբաղում», ՄՃԽ, Զեկույց 255, դեկտեմբերի 20, 2019։</w:t>
      </w:r>
    </w:p>
    <w:p w:rsidR="004C6367" w:rsidRPr="00EA3B60" w:rsidRDefault="00E93ED6" w:rsidP="004C636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Fonts w:ascii="Arian AMU" w:hAnsi="Arian AMU" w:cs="Arian AMU"/>
          <w:sz w:val="16"/>
          <w:szCs w:val="16"/>
        </w:rPr>
        <w:t xml:space="preserve"> Միջազգային ճգնաժամային խումբ, «Արյունոտ բերքահավաքի կանխումը հայ-ադրբեջանական պետական սահմանին», ՄՃԽ, Զեկույց 259, հուլիսի 24, 2020։</w:t>
      </w:r>
    </w:p>
  </w:footnote>
  <w:footnote w:id="3">
    <w:p w:rsidR="00807399" w:rsidRPr="00EA3B60" w:rsidRDefault="00807399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Քրիստան Մարմո, «Այլևս թավիշ չի լինելու: Հայաստանի Վարչապետ Նիկոլ Փաշինյանը խոստանում է «պողպատե հեղափոխություն», «</w:t>
      </w:r>
      <w:r w:rsidRPr="00EA3B60">
        <w:rPr>
          <w:rFonts w:ascii="Arian AMU" w:hAnsi="Arian AMU" w:cs="Arian AMU"/>
          <w:i/>
          <w:sz w:val="16"/>
          <w:szCs w:val="16"/>
        </w:rPr>
        <w:t>Նորահայտ Եվրոպա» (Emerging Europe)</w:t>
      </w:r>
      <w:r w:rsidRPr="00EA3B60">
        <w:rPr>
          <w:rFonts w:ascii="Arian AMU" w:hAnsi="Arian AMU" w:cs="Arian AMU"/>
          <w:sz w:val="16"/>
          <w:szCs w:val="16"/>
        </w:rPr>
        <w:t>, հունիսի 25, 2021։</w:t>
      </w:r>
    </w:p>
  </w:footnote>
  <w:footnote w:id="4">
    <w:p w:rsidR="00807399" w:rsidRPr="00EA3B60" w:rsidRDefault="00807399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Նիլ Հաուզեր, «Հայաստանը դեռ վշտի մեջ է», </w:t>
      </w:r>
      <w:r w:rsidRPr="00EA3B60">
        <w:rPr>
          <w:rFonts w:ascii="Arian AMU" w:hAnsi="Arian AMU" w:cs="Arian AMU"/>
          <w:i/>
          <w:sz w:val="16"/>
          <w:szCs w:val="16"/>
        </w:rPr>
        <w:t>Foreign Policy</w:t>
      </w:r>
      <w:r w:rsidRPr="00EA3B60">
        <w:rPr>
          <w:rFonts w:ascii="Arian AMU" w:hAnsi="Arian AMU" w:cs="Arian AMU"/>
          <w:sz w:val="16"/>
          <w:szCs w:val="16"/>
        </w:rPr>
        <w:t>, ապրիլի 24, 2021։</w:t>
      </w:r>
    </w:p>
  </w:footnote>
  <w:footnote w:id="5">
    <w:p w:rsidR="00A361CD" w:rsidRPr="00EA3B60" w:rsidRDefault="00A361CD" w:rsidP="00A361CD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Շաան Շայխ և Ուես Ռամբո, «Օդային և հրթիռային պատերազմը Լեռնային Ղարաբաղում։ «Դասեր հարձակման և պաշտպանության ապագայի համար», Ռազմավարական և միջազգային հետազոտությունների կենտրոն (CSIS), դեկտեմբերի 8, 2020։ Ալեքսանդր Սթրոնել, «Լեռնային Ղարաբաղից դասեր քաղելը ռուսական ձևով», Ռազմավարական հետազոտությունների միջազգային ինստիտուտ (IISS), մարտի 10, 2021։</w:t>
      </w:r>
    </w:p>
  </w:footnote>
  <w:footnote w:id="6">
    <w:p w:rsidR="00807399" w:rsidRPr="00EA3B60" w:rsidRDefault="00807399" w:rsidP="00807399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Հայաստանի Հանրապետության Ազգային ժողովի Պաշտպանության, ազգային անվտանգության և ներքին գործերի մշտական հանձնաժողովի անդամներ։</w:t>
      </w:r>
    </w:p>
  </w:footnote>
  <w:footnote w:id="7">
    <w:p w:rsidR="00807399" w:rsidRPr="00EA3B60" w:rsidRDefault="00807399" w:rsidP="00807399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Վահրամ Տեր-Մաթևոսյան, «Հայաստանի Ազգային անվտանգության նոր ռազմավարությունը։ Առաջին տպավորությունները», </w:t>
      </w:r>
      <w:r w:rsidRPr="00EA3B60">
        <w:rPr>
          <w:rFonts w:ascii="Arian AMU" w:hAnsi="Arian AMU" w:cs="Arian AMU"/>
          <w:i/>
          <w:iCs/>
          <w:sz w:val="16"/>
          <w:szCs w:val="16"/>
        </w:rPr>
        <w:t>EVN Report</w:t>
      </w:r>
      <w:r w:rsidRPr="00EA3B60">
        <w:rPr>
          <w:rFonts w:ascii="Arian AMU" w:hAnsi="Arian AMU" w:cs="Arian AMU"/>
          <w:sz w:val="16"/>
          <w:szCs w:val="16"/>
        </w:rPr>
        <w:t>, հուլիսի 23 2020։</w:t>
      </w:r>
    </w:p>
  </w:footnote>
  <w:footnote w:id="8">
    <w:p w:rsidR="004C6367" w:rsidRPr="00EA3B60" w:rsidRDefault="004C6367" w:rsidP="00393FD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Աշոտ Խուրշուդյան, Մարիյն Զեգեր Վան դեր Վալ, Էլխան Մեհդիև, Թամար Պատարայա, Շորենա Լորթքիփանիձե և Դավիթ Սիխարուլիձե, «Անվտանգության ոլորտի վերահսկողությունը խորհրդարանների և քաղաքացիական հասարակության կողմից Կովկասում. Հայաստանի, Վրաստանի և Ադրբեջանի դեպքերը», </w:t>
      </w:r>
      <w:r w:rsidRPr="00EA3B60">
        <w:rPr>
          <w:rFonts w:ascii="Arian AMU" w:hAnsi="Arian AMU" w:cs="Arian AMU"/>
          <w:i/>
          <w:sz w:val="16"/>
          <w:szCs w:val="16"/>
        </w:rPr>
        <w:t>Cascade Caucasus</w:t>
      </w:r>
      <w:r w:rsidRPr="00EA3B60">
        <w:rPr>
          <w:rFonts w:ascii="Arian AMU" w:hAnsi="Arian AMU" w:cs="Arian AMU"/>
          <w:sz w:val="16"/>
          <w:szCs w:val="16"/>
        </w:rPr>
        <w:t>, սեպտեմբեր, 2016, էջ 9։</w:t>
      </w:r>
    </w:p>
  </w:footnote>
  <w:footnote w:id="9">
    <w:p w:rsidR="2FE3A9A4" w:rsidRPr="00EA3B60" w:rsidRDefault="2FE3A9A4" w:rsidP="2FE3A9A4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Լանսկոյ և Սադերզ, «Հայաստանի Թավշյա հեղափոխությունները»։ </w:t>
      </w:r>
    </w:p>
  </w:footnote>
  <w:footnote w:id="10">
    <w:p w:rsidR="00E75DB7" w:rsidRPr="00EA3B60" w:rsidRDefault="00E75DB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«Անվտանգության խորհրդի կազմավորման և գործունեության մասին», Հայաստանի Հանրապետության օրենք, մարտ, 2018։</w:t>
      </w:r>
    </w:p>
  </w:footnote>
  <w:footnote w:id="11">
    <w:p w:rsidR="00E75DB7" w:rsidRPr="00EA3B60" w:rsidRDefault="00E75DB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Հայաստանի Հանրապետության Ազգային ժողովի Պաշտպանության, ազգային անվտանգության և ներքին գործերի մշտական հանձնաժողով, 2019։</w:t>
      </w:r>
    </w:p>
  </w:footnote>
  <w:footnote w:id="12">
    <w:p w:rsidR="00D51D7A" w:rsidRPr="00EA3B60" w:rsidRDefault="00D51D7A" w:rsidP="00D51D7A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Անի Մեջլումյան, «Հայաստանը սկսում է 2016 թվականի պատերազմի հանգամանքների ուսումնասիրությունը», </w:t>
      </w:r>
      <w:r w:rsidRPr="00EA3B60">
        <w:rPr>
          <w:rFonts w:ascii="Arian AMU" w:hAnsi="Arian AMU" w:cs="Arian AMU"/>
          <w:i/>
          <w:sz w:val="16"/>
          <w:szCs w:val="16"/>
        </w:rPr>
        <w:t>Eurasianet</w:t>
      </w:r>
      <w:r w:rsidRPr="00EA3B60">
        <w:rPr>
          <w:rFonts w:ascii="Arian AMU" w:hAnsi="Arian AMU" w:cs="Arian AMU"/>
          <w:sz w:val="16"/>
          <w:szCs w:val="16"/>
        </w:rPr>
        <w:t>, հունիսի 14, 2019։</w:t>
      </w:r>
    </w:p>
  </w:footnote>
  <w:footnote w:id="13">
    <w:p w:rsidR="00E75DB7" w:rsidRPr="00EA3B60" w:rsidRDefault="00E75DB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«Գնումների մասին» Հայաստանի Հանրապետության օրենք, դեկտեմբեր, 2016։</w:t>
      </w:r>
    </w:p>
  </w:footnote>
  <w:footnote w:id="14">
    <w:p w:rsidR="008450F4" w:rsidRPr="00EA3B60" w:rsidRDefault="008450F4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«Հաշվեքննիչ պալատի մասին» Հայաստանի Հանրապետության օրենք, հունվար, 2018։</w:t>
      </w:r>
    </w:p>
  </w:footnote>
  <w:footnote w:id="15">
    <w:p w:rsidR="008450F4" w:rsidRPr="00EA3B60" w:rsidRDefault="008450F4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Հաշվեքննիչ պալատ, «Արխիվներ»։</w:t>
      </w:r>
    </w:p>
  </w:footnote>
  <w:footnote w:id="16">
    <w:p w:rsidR="002777A3" w:rsidRPr="00EA3B60" w:rsidRDefault="002777A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Բերթելսմանն հիմնադրամ, </w:t>
      </w:r>
      <w:r w:rsidRPr="00EA3B60">
        <w:rPr>
          <w:rFonts w:ascii="Arian AMU" w:hAnsi="Arian AMU" w:cs="Arian AMU"/>
          <w:i/>
          <w:sz w:val="16"/>
          <w:szCs w:val="16"/>
        </w:rPr>
        <w:t>BTI 2020 «Երկրի զեկույց: Հայաստան</w:t>
      </w:r>
      <w:r w:rsidRPr="00EA3B60">
        <w:rPr>
          <w:rFonts w:ascii="Arian AMU" w:hAnsi="Arian AMU" w:cs="Arian AMU"/>
          <w:sz w:val="16"/>
          <w:szCs w:val="16"/>
        </w:rPr>
        <w:t>, Gutersloh, Bertelsmann Stiftung, 2020, էջ 28։</w:t>
      </w:r>
    </w:p>
  </w:footnote>
  <w:footnote w:id="17">
    <w:p w:rsidR="002777A3" w:rsidRPr="00EA3B60" w:rsidRDefault="002777A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«Տեղեկատվության ազատության մասին» Հայաստանի Հանրապետության օրենք, սեպտեմբեր, 2003։</w:t>
      </w:r>
    </w:p>
  </w:footnote>
  <w:footnote w:id="18">
    <w:p w:rsidR="002777A3" w:rsidRPr="00EA3B60" w:rsidRDefault="002777A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«Պետական և ծառայողական գաղտնիքի մասին» Հայաստանի Հանրապետության օրենք, դեկտեմբեր, 1997։</w:t>
      </w:r>
    </w:p>
  </w:footnote>
  <w:footnote w:id="19">
    <w:p w:rsidR="002777A3" w:rsidRPr="00EA3B60" w:rsidRDefault="002777A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«Հայաստանի Հանրապետության 2020 թվականի պետական բյուջեի մասին» ՀՀ օրենք, 2019։</w:t>
      </w:r>
    </w:p>
  </w:footnote>
  <w:footnote w:id="20">
    <w:p w:rsidR="00AA6D55" w:rsidRPr="00EA3B60" w:rsidRDefault="00AA6D55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 «Բյուջետային համակարգի մասին» Հայաստանի Հանրապետության օրենք, հունիս, 1997։</w:t>
      </w:r>
    </w:p>
  </w:footnote>
  <w:footnote w:id="21">
    <w:p w:rsidR="00AA6D55" w:rsidRPr="00EA3B60" w:rsidRDefault="00AA6D55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A1+, «Հիմա Մարտիկի հաշվին 1,2 մլն դոլար կա՞, թե՝ չկա», սեպտեմբերի 26, 2016։ </w:t>
      </w:r>
    </w:p>
  </w:footnote>
  <w:footnote w:id="22">
    <w:p w:rsidR="000A0727" w:rsidRPr="00EA3B60" w:rsidRDefault="000A072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«Ազդարարման համակարգի մասին» Հայաստանի Հանրապետության օրենք, օգոստոս, 2018։ </w:t>
      </w:r>
    </w:p>
  </w:footnote>
  <w:footnote w:id="23">
    <w:p w:rsidR="004B2CEA" w:rsidRPr="00EA3B60" w:rsidRDefault="004B2CEA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«Ազդարարման համակարգի մասին» Հայաստանի Հանրապետության օրենք, օգոստոս, 2018։ </w:t>
      </w:r>
    </w:p>
  </w:footnote>
  <w:footnote w:id="24">
    <w:p w:rsidR="00286FBE" w:rsidRPr="00EA3B60" w:rsidRDefault="00286FB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«Ազդարարման համակարգի մասին» օրենք, Հոդված 6, 8-րդ կետ։ </w:t>
      </w:r>
    </w:p>
  </w:footnote>
  <w:footnote w:id="25">
    <w:p w:rsidR="000A0727" w:rsidRPr="00EA3B60" w:rsidRDefault="000A0727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«Ազդարարման համակարգի մասին» օրենք։</w:t>
      </w:r>
    </w:p>
  </w:footnote>
  <w:footnote w:id="26">
    <w:p w:rsidR="001D3513" w:rsidRPr="00EA3B60" w:rsidRDefault="001D3513">
      <w:pPr>
        <w:pStyle w:val="FootnoteText"/>
        <w:rPr>
          <w:rFonts w:ascii="Arian AMU" w:hAnsi="Arian AMU" w:cs="Arian AMU"/>
          <w:i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«Հայաստանի Հանրապետության զինված ուժերի կարգապահական կանոնագիրք» ՀՀ օրենք, մարտ 2012։</w:t>
      </w:r>
    </w:p>
  </w:footnote>
  <w:footnote w:id="27">
    <w:p w:rsidR="001D3513" w:rsidRPr="00EA3B60" w:rsidRDefault="001D351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«Հայաստանի Հանրապետության զինված ուժերի ներքին ծառայության կանոնագիրքը հաստատելու մասին» ՀՀ օրենք, դեկտեմբեր, 1996։</w:t>
      </w:r>
    </w:p>
  </w:footnote>
  <w:footnote w:id="28">
    <w:p w:rsidR="001D3513" w:rsidRPr="00EA3B60" w:rsidRDefault="001D351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«Քաղաքացիական հատուկ ծառայության մասին» Հայաստանի Հանրապետության օրենք, նոյեմբեր, 2007։</w:t>
      </w:r>
    </w:p>
  </w:footnote>
  <w:footnote w:id="29">
    <w:p w:rsidR="001D3513" w:rsidRPr="00EA3B60" w:rsidRDefault="001D3513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ՀՀ կառավարության 1993 թվականի փետրվարի 17-ի «Պաշտոնի բերումով ստացված նվերները պետությանը հանձնելու կարգի մասին» թիվ 48 որոշում։</w:t>
      </w:r>
    </w:p>
  </w:footnote>
  <w:footnote w:id="30">
    <w:p w:rsidR="002976C6" w:rsidRPr="00EA3B60" w:rsidRDefault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Վահե Մակարյան «Պաշտոնատար անձինք նվերներ չե՞ն ստանում, թե՝ թաքցնում են», </w:t>
      </w:r>
      <w:r w:rsidRPr="00EA3B60">
        <w:rPr>
          <w:rFonts w:ascii="Arian AMU" w:hAnsi="Arian AMU" w:cs="Arian AMU"/>
          <w:i/>
          <w:iCs/>
          <w:sz w:val="16"/>
          <w:szCs w:val="16"/>
        </w:rPr>
        <w:t>hraparak.am</w:t>
      </w:r>
      <w:r w:rsidRPr="00EA3B60">
        <w:rPr>
          <w:rFonts w:ascii="Arian AMU" w:hAnsi="Arian AMU" w:cs="Arian AMU"/>
          <w:sz w:val="16"/>
          <w:szCs w:val="16"/>
        </w:rPr>
        <w:t>, փետրվարի 10, 2018։</w:t>
      </w:r>
    </w:p>
  </w:footnote>
  <w:footnote w:id="31">
    <w:p w:rsidR="002976C6" w:rsidRPr="00EA3B60" w:rsidRDefault="002976C6" w:rsidP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ՆԱՏՕ, «Կոսովոյի ուժ (KFOR): Փաստեր և թվեր», հունիս, 2020։</w:t>
      </w:r>
    </w:p>
  </w:footnote>
  <w:footnote w:id="32">
    <w:p w:rsidR="002976C6" w:rsidRPr="00EA3B60" w:rsidRDefault="002976C6" w:rsidP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ՄԱԿ-ի Խաղաղապահ ուժեր, «Զորքի և ոստիկանության մասնակցություն. Հայաստան»։</w:t>
      </w:r>
    </w:p>
  </w:footnote>
  <w:footnote w:id="33">
    <w:p w:rsidR="002976C6" w:rsidRPr="00EA3B60" w:rsidRDefault="002976C6" w:rsidP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Չարլզ Վ. Բլենդի, «Ադրբեջան. Լեռնային Ղարաբաղի համար պատերազմն արդյո՞ք իրատեսական տարբերակ է», մայիս, 2008։</w:t>
      </w:r>
    </w:p>
  </w:footnote>
  <w:footnote w:id="34">
    <w:p w:rsidR="002976C6" w:rsidRPr="00EA3B60" w:rsidRDefault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Պաշտպանության նախարարություն, «Հայաստանի Հանրապետության ռազմական դոկտրին», 2007։</w:t>
      </w:r>
    </w:p>
  </w:footnote>
  <w:footnote w:id="35">
    <w:p w:rsidR="002976C6" w:rsidRPr="00EA3B60" w:rsidRDefault="002976C6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Պաշտպանության նախարարություն, «Հայաստանի Հանրապետության Պաշտպանության նախարարի տեսլականը», հուլիսի 9, 2018։</w:t>
      </w:r>
    </w:p>
  </w:footnote>
  <w:footnote w:id="36">
    <w:p w:rsidR="00535C6E" w:rsidRPr="00EA3B60" w:rsidRDefault="00535C6E" w:rsidP="00535C6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SIPRI, «Ռազմական ծախսերն ըստ երկրների՝ արտահայտված ՀՆԱ-ի տոկոսով, 1988-2019», SIPRI, 2020։</w:t>
      </w:r>
    </w:p>
  </w:footnote>
  <w:footnote w:id="37">
    <w:p w:rsidR="00535C6E" w:rsidRPr="00EA3B60" w:rsidRDefault="00535C6E" w:rsidP="00535C6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</w:t>
      </w:r>
      <w:r w:rsidRPr="00EA3B60">
        <w:rPr>
          <w:rStyle w:val="Hyperlink"/>
          <w:rFonts w:ascii="Arian AMU" w:hAnsi="Arian AMU" w:cs="Arian AMU"/>
          <w:color w:val="auto"/>
          <w:sz w:val="16"/>
          <w:szCs w:val="16"/>
          <w:u w:val="none"/>
        </w:rPr>
        <w:t>Եվրոպական անվտանգություն և պաշտպանություն (European Security &amp; Defence), «Հայաստանը փոփոխվող անվտանգային միջավայրում», նոյեմբերի 6, 2019։</w:t>
      </w:r>
    </w:p>
  </w:footnote>
  <w:footnote w:id="38">
    <w:p w:rsidR="00535C6E" w:rsidRPr="00EA3B60" w:rsidRDefault="00535C6E" w:rsidP="00535C6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Նովիկովա, «Հայաստանը փոփոխվող անվտանգային միջավայրում»։ </w:t>
      </w:r>
    </w:p>
  </w:footnote>
  <w:footnote w:id="39">
    <w:p w:rsidR="00535C6E" w:rsidRPr="00EA3B60" w:rsidRDefault="00535C6E" w:rsidP="00535C6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Սեմ Բհությա, «Հայաստան-Ադրբեջան: Ո՞վ է ավելի խոշոր պաշտպանական ծախսեր կատարում», </w:t>
      </w:r>
      <w:r w:rsidRPr="00EA3B60">
        <w:rPr>
          <w:rFonts w:ascii="Arian AMU" w:hAnsi="Arian AMU" w:cs="Arian AMU"/>
          <w:i/>
          <w:sz w:val="16"/>
          <w:szCs w:val="16"/>
        </w:rPr>
        <w:t>Eurasianet</w:t>
      </w:r>
      <w:r w:rsidRPr="00EA3B60">
        <w:rPr>
          <w:rFonts w:ascii="Arian AMU" w:hAnsi="Arian AMU" w:cs="Arian AMU"/>
          <w:sz w:val="16"/>
          <w:szCs w:val="16"/>
        </w:rPr>
        <w:t xml:space="preserve">, հոկտեմբերի 28, 2019։ </w:t>
      </w:r>
    </w:p>
  </w:footnote>
  <w:footnote w:id="40">
    <w:p w:rsidR="00D66CDF" w:rsidRPr="00EA3B60" w:rsidRDefault="00D66CDF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Հայաստանի Հանրապետության «Ազգային անվտանգության ռազմավարություն», 2007։</w:t>
      </w:r>
    </w:p>
  </w:footnote>
  <w:footnote w:id="41">
    <w:p w:rsidR="00535C6E" w:rsidRPr="00EA3B60" w:rsidRDefault="00535C6E" w:rsidP="00535C6E">
      <w:pPr>
        <w:pStyle w:val="FootnoteText"/>
        <w:rPr>
          <w:rFonts w:ascii="Arian AMU" w:hAnsi="Arian AMU" w:cs="Arian AMU"/>
          <w:sz w:val="16"/>
          <w:szCs w:val="16"/>
        </w:rPr>
      </w:pPr>
      <w:r w:rsidRPr="00EA3B60">
        <w:rPr>
          <w:rStyle w:val="FootnoteReference"/>
          <w:rFonts w:ascii="Arian AMU" w:hAnsi="Arian AMU" w:cs="Arian AMU"/>
          <w:sz w:val="16"/>
          <w:szCs w:val="16"/>
        </w:rPr>
        <w:footnoteRef/>
      </w:r>
      <w:r w:rsidRPr="00EA3B60">
        <w:rPr>
          <w:rFonts w:ascii="Arian AMU" w:hAnsi="Arian AMU" w:cs="Arian AMU"/>
          <w:sz w:val="16"/>
          <w:szCs w:val="16"/>
        </w:rPr>
        <w:t xml:space="preserve"> Հայաստանի Հանրապետության Պաշտպանության նախարարություն, «Հայաստանի Հանրապետության Պաշտպանության նախարարի տեսլականը», </w:t>
      </w:r>
      <w:hyperlink r:id="rId1" w:history="1">
        <w:r w:rsidRPr="00EA3B60">
          <w:rPr>
            <w:rStyle w:val="Hyperlink"/>
            <w:rFonts w:ascii="Arian AMU" w:hAnsi="Arian AMU" w:cs="Arian AMU"/>
            <w:sz w:val="16"/>
            <w:szCs w:val="16"/>
          </w:rPr>
          <w:t>http://www.mil.am/en/news/5402</w:t>
        </w:r>
      </w:hyperlink>
      <w:r w:rsidRPr="00EA3B60">
        <w:rPr>
          <w:rFonts w:ascii="Arian AMU" w:hAnsi="Arian AMU" w:cs="Arian AMU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008" w:rsidRDefault="00793008" w:rsidP="00793008">
    <w:pPr>
      <w:pStyle w:val="Header"/>
      <w:jc w:val="right"/>
    </w:pPr>
  </w:p>
  <w:p w:rsidR="00793008" w:rsidRDefault="00793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FC" w:rsidRDefault="008E16FC" w:rsidP="008E16FC">
    <w:pPr>
      <w:pStyle w:val="Header"/>
      <w:jc w:val="right"/>
      <w:rPr>
        <w:rFonts w:ascii="Sylfaen" w:hAnsi="Sylfaen"/>
      </w:rPr>
    </w:pPr>
    <w:r>
      <w:rPr>
        <w:noProof/>
      </w:rPr>
      <w:drawing>
        <wp:inline distT="0" distB="0" distL="0" distR="0" wp14:anchorId="6B991E70" wp14:editId="6C319F27">
          <wp:extent cx="2352907" cy="613317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984" cy="62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16FC" w:rsidRDefault="008E16FC" w:rsidP="008E16FC">
    <w:pPr>
      <w:pStyle w:val="Header"/>
      <w:jc w:val="right"/>
      <w:rPr>
        <w:rFonts w:ascii="Sylfaen" w:hAnsi="Sylfaen"/>
      </w:rPr>
    </w:pPr>
  </w:p>
  <w:p w:rsidR="008E16FC" w:rsidRPr="008E16FC" w:rsidRDefault="008E16FC" w:rsidP="008E16FC">
    <w:pPr>
      <w:pStyle w:val="Header"/>
      <w:jc w:val="right"/>
      <w:rPr>
        <w:rFonts w:ascii="Sylfaen" w:hAnsi="Sylfa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67"/>
    <w:rsid w:val="00053725"/>
    <w:rsid w:val="00063050"/>
    <w:rsid w:val="0006419A"/>
    <w:rsid w:val="000704D8"/>
    <w:rsid w:val="000A0727"/>
    <w:rsid w:val="000A2340"/>
    <w:rsid w:val="000F4A2C"/>
    <w:rsid w:val="00126088"/>
    <w:rsid w:val="0016723D"/>
    <w:rsid w:val="001C40C3"/>
    <w:rsid w:val="001D3513"/>
    <w:rsid w:val="001D4603"/>
    <w:rsid w:val="001E1B33"/>
    <w:rsid w:val="00212BFA"/>
    <w:rsid w:val="002151BC"/>
    <w:rsid w:val="00250ECD"/>
    <w:rsid w:val="002777A3"/>
    <w:rsid w:val="00286FBE"/>
    <w:rsid w:val="00296E04"/>
    <w:rsid w:val="002976C6"/>
    <w:rsid w:val="002D0C99"/>
    <w:rsid w:val="002D0DEF"/>
    <w:rsid w:val="002E6749"/>
    <w:rsid w:val="00336068"/>
    <w:rsid w:val="00353F19"/>
    <w:rsid w:val="003625C0"/>
    <w:rsid w:val="00393FD3"/>
    <w:rsid w:val="003D3610"/>
    <w:rsid w:val="003D72B4"/>
    <w:rsid w:val="004069F2"/>
    <w:rsid w:val="00423308"/>
    <w:rsid w:val="00427A6F"/>
    <w:rsid w:val="00432573"/>
    <w:rsid w:val="00432895"/>
    <w:rsid w:val="00433F2A"/>
    <w:rsid w:val="00441B6E"/>
    <w:rsid w:val="00494F95"/>
    <w:rsid w:val="004B2CEA"/>
    <w:rsid w:val="004C2E68"/>
    <w:rsid w:val="004C6367"/>
    <w:rsid w:val="004D898A"/>
    <w:rsid w:val="004F55E5"/>
    <w:rsid w:val="005209DB"/>
    <w:rsid w:val="00524E23"/>
    <w:rsid w:val="00535C6E"/>
    <w:rsid w:val="00561422"/>
    <w:rsid w:val="00562330"/>
    <w:rsid w:val="005873EE"/>
    <w:rsid w:val="005A5A1C"/>
    <w:rsid w:val="005D04E8"/>
    <w:rsid w:val="005D1BD8"/>
    <w:rsid w:val="00601558"/>
    <w:rsid w:val="00604C58"/>
    <w:rsid w:val="006174E8"/>
    <w:rsid w:val="00631B9A"/>
    <w:rsid w:val="006733A7"/>
    <w:rsid w:val="006813E5"/>
    <w:rsid w:val="0068431D"/>
    <w:rsid w:val="006867D0"/>
    <w:rsid w:val="006A6B99"/>
    <w:rsid w:val="006D041D"/>
    <w:rsid w:val="006E006C"/>
    <w:rsid w:val="006E1F26"/>
    <w:rsid w:val="00702D4F"/>
    <w:rsid w:val="007429E2"/>
    <w:rsid w:val="007453DC"/>
    <w:rsid w:val="007558BF"/>
    <w:rsid w:val="00793008"/>
    <w:rsid w:val="00795059"/>
    <w:rsid w:val="007D765E"/>
    <w:rsid w:val="007E5745"/>
    <w:rsid w:val="007E6F49"/>
    <w:rsid w:val="007F1F3A"/>
    <w:rsid w:val="007F2CBB"/>
    <w:rsid w:val="00807399"/>
    <w:rsid w:val="00834CA6"/>
    <w:rsid w:val="008450F4"/>
    <w:rsid w:val="00855FC2"/>
    <w:rsid w:val="00866EDB"/>
    <w:rsid w:val="008E16FC"/>
    <w:rsid w:val="008F5313"/>
    <w:rsid w:val="00954ACE"/>
    <w:rsid w:val="00964D49"/>
    <w:rsid w:val="0098154C"/>
    <w:rsid w:val="0098459E"/>
    <w:rsid w:val="009E3011"/>
    <w:rsid w:val="009E5DC8"/>
    <w:rsid w:val="009F2069"/>
    <w:rsid w:val="00A361CD"/>
    <w:rsid w:val="00A37404"/>
    <w:rsid w:val="00A65CEB"/>
    <w:rsid w:val="00A71D83"/>
    <w:rsid w:val="00A84373"/>
    <w:rsid w:val="00AA6D55"/>
    <w:rsid w:val="00AA7158"/>
    <w:rsid w:val="00AB05A3"/>
    <w:rsid w:val="00AB1207"/>
    <w:rsid w:val="00AB706D"/>
    <w:rsid w:val="00AE0E3B"/>
    <w:rsid w:val="00AE2CC8"/>
    <w:rsid w:val="00B31AE6"/>
    <w:rsid w:val="00B3300D"/>
    <w:rsid w:val="00B406BD"/>
    <w:rsid w:val="00B56F67"/>
    <w:rsid w:val="00BA0FC2"/>
    <w:rsid w:val="00BA2917"/>
    <w:rsid w:val="00BB526E"/>
    <w:rsid w:val="00BD2F0B"/>
    <w:rsid w:val="00BF2B35"/>
    <w:rsid w:val="00C0424A"/>
    <w:rsid w:val="00C3010A"/>
    <w:rsid w:val="00C34C14"/>
    <w:rsid w:val="00C80013"/>
    <w:rsid w:val="00C920BF"/>
    <w:rsid w:val="00C947F0"/>
    <w:rsid w:val="00CA0297"/>
    <w:rsid w:val="00CF32FE"/>
    <w:rsid w:val="00D0219A"/>
    <w:rsid w:val="00D036D2"/>
    <w:rsid w:val="00D11B2E"/>
    <w:rsid w:val="00D51D7A"/>
    <w:rsid w:val="00D539F5"/>
    <w:rsid w:val="00D64E05"/>
    <w:rsid w:val="00D66CDF"/>
    <w:rsid w:val="00D92368"/>
    <w:rsid w:val="00DA08C2"/>
    <w:rsid w:val="00DA498D"/>
    <w:rsid w:val="00DB1D20"/>
    <w:rsid w:val="00E049A9"/>
    <w:rsid w:val="00E067B7"/>
    <w:rsid w:val="00E10738"/>
    <w:rsid w:val="00E2320E"/>
    <w:rsid w:val="00E42B9E"/>
    <w:rsid w:val="00E653C1"/>
    <w:rsid w:val="00E671CA"/>
    <w:rsid w:val="00E75DB7"/>
    <w:rsid w:val="00E76EDF"/>
    <w:rsid w:val="00E82DAF"/>
    <w:rsid w:val="00E87BE4"/>
    <w:rsid w:val="00E93ED6"/>
    <w:rsid w:val="00EA3B60"/>
    <w:rsid w:val="00EA6AC1"/>
    <w:rsid w:val="00EC533A"/>
    <w:rsid w:val="00F60A38"/>
    <w:rsid w:val="00FB0F13"/>
    <w:rsid w:val="00FB6B14"/>
    <w:rsid w:val="00FC2174"/>
    <w:rsid w:val="00FC3EC2"/>
    <w:rsid w:val="00FE576C"/>
    <w:rsid w:val="00FE7A22"/>
    <w:rsid w:val="00FE7C05"/>
    <w:rsid w:val="00FF5794"/>
    <w:rsid w:val="00FF6A64"/>
    <w:rsid w:val="020D43AD"/>
    <w:rsid w:val="033D59BF"/>
    <w:rsid w:val="03FA2E66"/>
    <w:rsid w:val="068C0F44"/>
    <w:rsid w:val="0863754C"/>
    <w:rsid w:val="0A2A6481"/>
    <w:rsid w:val="0A46F3B6"/>
    <w:rsid w:val="0CAACAAA"/>
    <w:rsid w:val="0D1C2B48"/>
    <w:rsid w:val="0E948CD9"/>
    <w:rsid w:val="0F64F7C9"/>
    <w:rsid w:val="115F9EC5"/>
    <w:rsid w:val="121BD3BD"/>
    <w:rsid w:val="121F1BC7"/>
    <w:rsid w:val="13C6972E"/>
    <w:rsid w:val="14799DB7"/>
    <w:rsid w:val="14C2FD29"/>
    <w:rsid w:val="17D42C08"/>
    <w:rsid w:val="18B215A8"/>
    <w:rsid w:val="1DE62C07"/>
    <w:rsid w:val="1E9BE282"/>
    <w:rsid w:val="212A98A2"/>
    <w:rsid w:val="21A02BA2"/>
    <w:rsid w:val="242C9A89"/>
    <w:rsid w:val="25A9DB31"/>
    <w:rsid w:val="2753A90B"/>
    <w:rsid w:val="2773DADE"/>
    <w:rsid w:val="2908E93A"/>
    <w:rsid w:val="2970F1E4"/>
    <w:rsid w:val="2A29DDBC"/>
    <w:rsid w:val="2A327F96"/>
    <w:rsid w:val="2ACDF895"/>
    <w:rsid w:val="2BE1FF73"/>
    <w:rsid w:val="2C0E28B3"/>
    <w:rsid w:val="2C25CAEC"/>
    <w:rsid w:val="2DB9F6CC"/>
    <w:rsid w:val="2F0B2665"/>
    <w:rsid w:val="2FE3A9A4"/>
    <w:rsid w:val="314645F3"/>
    <w:rsid w:val="32D40E39"/>
    <w:rsid w:val="338F896D"/>
    <w:rsid w:val="357B52E0"/>
    <w:rsid w:val="37786560"/>
    <w:rsid w:val="37ACB910"/>
    <w:rsid w:val="37FB7DD9"/>
    <w:rsid w:val="38D98F57"/>
    <w:rsid w:val="391388EC"/>
    <w:rsid w:val="3B4E2829"/>
    <w:rsid w:val="3EF15B76"/>
    <w:rsid w:val="3F9C90F4"/>
    <w:rsid w:val="3FE908C6"/>
    <w:rsid w:val="40821728"/>
    <w:rsid w:val="431FCCB0"/>
    <w:rsid w:val="44AF675E"/>
    <w:rsid w:val="457BA985"/>
    <w:rsid w:val="458C6819"/>
    <w:rsid w:val="461D1ABA"/>
    <w:rsid w:val="4690D215"/>
    <w:rsid w:val="46F690F8"/>
    <w:rsid w:val="4945396B"/>
    <w:rsid w:val="4B79727C"/>
    <w:rsid w:val="4C4D7F02"/>
    <w:rsid w:val="4C4FD7CA"/>
    <w:rsid w:val="4CF813B3"/>
    <w:rsid w:val="4DD55521"/>
    <w:rsid w:val="4DF4DFF6"/>
    <w:rsid w:val="4F058DC0"/>
    <w:rsid w:val="50F912B1"/>
    <w:rsid w:val="544294E7"/>
    <w:rsid w:val="551F2D42"/>
    <w:rsid w:val="5544E384"/>
    <w:rsid w:val="56D0D411"/>
    <w:rsid w:val="57804A4F"/>
    <w:rsid w:val="586E86EB"/>
    <w:rsid w:val="58F1E95F"/>
    <w:rsid w:val="59EB8BB5"/>
    <w:rsid w:val="5AA955CF"/>
    <w:rsid w:val="5BC01733"/>
    <w:rsid w:val="5D454657"/>
    <w:rsid w:val="5ED344AE"/>
    <w:rsid w:val="5ED9C9EB"/>
    <w:rsid w:val="5F85D912"/>
    <w:rsid w:val="5FD4E783"/>
    <w:rsid w:val="609F2455"/>
    <w:rsid w:val="61D55B12"/>
    <w:rsid w:val="64B730FE"/>
    <w:rsid w:val="64E190EE"/>
    <w:rsid w:val="66337963"/>
    <w:rsid w:val="6735450D"/>
    <w:rsid w:val="674CF2EF"/>
    <w:rsid w:val="6A5ADA77"/>
    <w:rsid w:val="6B09190D"/>
    <w:rsid w:val="6C1014A2"/>
    <w:rsid w:val="6D496976"/>
    <w:rsid w:val="6D9DCF58"/>
    <w:rsid w:val="6E7D26CE"/>
    <w:rsid w:val="6E87CB8B"/>
    <w:rsid w:val="6F3B2BB5"/>
    <w:rsid w:val="70272F06"/>
    <w:rsid w:val="70909E42"/>
    <w:rsid w:val="7241E8F3"/>
    <w:rsid w:val="736735F5"/>
    <w:rsid w:val="756E3F6A"/>
    <w:rsid w:val="757DFE3A"/>
    <w:rsid w:val="7648D132"/>
    <w:rsid w:val="76988F26"/>
    <w:rsid w:val="779EB9BA"/>
    <w:rsid w:val="77A83A92"/>
    <w:rsid w:val="7827627B"/>
    <w:rsid w:val="79DCEE31"/>
    <w:rsid w:val="7AB8C5D0"/>
    <w:rsid w:val="7B18F033"/>
    <w:rsid w:val="7DB15A50"/>
    <w:rsid w:val="7E3D7D56"/>
    <w:rsid w:val="7F8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7C0A"/>
  <w15:chartTrackingRefBased/>
  <w15:docId w15:val="{81059411-ADB2-4147-8DBD-361E493B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67"/>
  </w:style>
  <w:style w:type="paragraph" w:styleId="Heading1">
    <w:name w:val="heading 1"/>
    <w:basedOn w:val="Normal"/>
    <w:next w:val="Normal"/>
    <w:link w:val="Heading1Char"/>
    <w:uiPriority w:val="9"/>
    <w:qFormat/>
    <w:rsid w:val="004C6367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63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63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3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3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367"/>
    <w:rPr>
      <w:vertAlign w:val="superscript"/>
    </w:rPr>
  </w:style>
  <w:style w:type="table" w:styleId="ListTable1Light-Accent5">
    <w:name w:val="List Table 1 Light Accent 5"/>
    <w:basedOn w:val="TableNormal"/>
    <w:uiPriority w:val="46"/>
    <w:rsid w:val="004C63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7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3FD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11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6D"/>
  </w:style>
  <w:style w:type="paragraph" w:styleId="Footer">
    <w:name w:val="footer"/>
    <w:basedOn w:val="Normal"/>
    <w:link w:val="FooterChar"/>
    <w:uiPriority w:val="99"/>
    <w:unhideWhenUsed/>
    <w:rsid w:val="00AB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l.am/en/news/540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B8"/>
    <w:rsid w:val="00110115"/>
    <w:rsid w:val="0090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3B051E2944A9381FBCB995E0E79C6">
    <w:name w:val="F7D3B051E2944A9381FBCB995E0E79C6"/>
    <w:rsid w:val="00907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E5AD-AC77-45D8-93E4-E3F0A26B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International</Company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Steadman</dc:creator>
  <cp:keywords/>
  <dc:description/>
  <cp:lastModifiedBy>Sona Ayvazyan</cp:lastModifiedBy>
  <cp:revision>6</cp:revision>
  <dcterms:created xsi:type="dcterms:W3CDTF">2021-11-15T18:55:00Z</dcterms:created>
  <dcterms:modified xsi:type="dcterms:W3CDTF">2021-11-15T19:58:00Z</dcterms:modified>
</cp:coreProperties>
</file>